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473C15F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A6DEC9B"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58BA6E3" w:rsidR="00E66558" w:rsidRDefault="00286071">
            <w:pPr>
              <w:pStyle w:val="TableRow"/>
            </w:pPr>
            <w:r>
              <w:t>Catforth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98E2256" w:rsidR="00E66558" w:rsidRDefault="00286071">
            <w:pPr>
              <w:pStyle w:val="TableRow"/>
            </w:pPr>
            <w:r>
              <w:t>84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CC82F35" w:rsidR="00E66558" w:rsidRDefault="00286071">
            <w:pPr>
              <w:pStyle w:val="TableRow"/>
            </w:pPr>
            <w:r>
              <w:t>17%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E8BD" w14:textId="77777777" w:rsidR="00E66558" w:rsidRDefault="00286071">
            <w:pPr>
              <w:pStyle w:val="TableRow"/>
            </w:pPr>
            <w:r>
              <w:t xml:space="preserve">2022/23 </w:t>
            </w:r>
            <w:r w:rsidRPr="00286071">
              <w:rPr>
                <w:i/>
                <w:sz w:val="20"/>
                <w:szCs w:val="20"/>
              </w:rPr>
              <w:t>(implementation of identified actions)</w:t>
            </w:r>
          </w:p>
          <w:p w14:paraId="40ABF0BC" w14:textId="723ED2F6" w:rsidR="00286071" w:rsidRDefault="00286071" w:rsidP="00286071">
            <w:pPr>
              <w:pStyle w:val="TableRow"/>
              <w:spacing w:before="0" w:after="0"/>
              <w:rPr>
                <w:i/>
                <w:sz w:val="20"/>
                <w:szCs w:val="20"/>
              </w:rPr>
            </w:pPr>
            <w:r>
              <w:t xml:space="preserve">2023/24 </w:t>
            </w:r>
            <w:r w:rsidRPr="00286071">
              <w:rPr>
                <w:i/>
                <w:sz w:val="20"/>
                <w:szCs w:val="20"/>
              </w:rPr>
              <w:t>(</w:t>
            </w:r>
            <w:r>
              <w:rPr>
                <w:i/>
                <w:sz w:val="20"/>
                <w:szCs w:val="20"/>
              </w:rPr>
              <w:t>embedding</w:t>
            </w:r>
            <w:r w:rsidRPr="00286071">
              <w:rPr>
                <w:i/>
                <w:sz w:val="20"/>
                <w:szCs w:val="20"/>
              </w:rPr>
              <w:t>)</w:t>
            </w:r>
          </w:p>
          <w:p w14:paraId="2A7D54C2" w14:textId="7B299FD4" w:rsidR="00286071" w:rsidRDefault="00286071" w:rsidP="00286071">
            <w:pPr>
              <w:pStyle w:val="TableRow"/>
            </w:pPr>
            <w:r>
              <w:rPr>
                <w:i/>
                <w:sz w:val="20"/>
                <w:szCs w:val="20"/>
              </w:rPr>
              <w:t xml:space="preserve">2024/25 </w:t>
            </w:r>
            <w:r w:rsidRPr="00286071">
              <w:rPr>
                <w:i/>
                <w:sz w:val="20"/>
                <w:szCs w:val="20"/>
              </w:rPr>
              <w:t>(</w:t>
            </w:r>
            <w:r>
              <w:rPr>
                <w:i/>
                <w:sz w:val="20"/>
                <w:szCs w:val="20"/>
              </w:rPr>
              <w:t>building on</w:t>
            </w:r>
            <w:r w:rsidRPr="00286071">
              <w:rPr>
                <w:i/>
                <w:sz w:val="20"/>
                <w:szCs w:val="20"/>
              </w:rPr>
              <w:t xml:space="preserve"> identified actions</w:t>
            </w:r>
            <w:r>
              <w:rPr>
                <w:i/>
                <w:sz w:val="20"/>
                <w:szCs w:val="20"/>
              </w:rPr>
              <w:t xml:space="preserve"> and strategy review</w:t>
            </w:r>
            <w:r w:rsidRPr="00286071">
              <w:rPr>
                <w:i/>
                <w:sz w:val="20"/>
                <w:szCs w:val="20"/>
              </w:rPr>
              <w:t>)</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6E54A788"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6E57351" w:rsidR="00E66558" w:rsidRDefault="00286071">
            <w:pPr>
              <w:pStyle w:val="TableRow"/>
            </w:pPr>
            <w:r>
              <w:t>August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B85A219" w:rsidR="00E66558" w:rsidRDefault="00286071">
            <w:pPr>
              <w:pStyle w:val="TableRow"/>
            </w:pPr>
            <w:r>
              <w:t>January 2024, then termly for the duration of the plan</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0A87159" w:rsidR="00E66558" w:rsidRDefault="00286071">
            <w:pPr>
              <w:pStyle w:val="TableRow"/>
            </w:pPr>
            <w:r>
              <w:t>Julie Bainbridge (HT)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68145F4" w:rsidR="00E66558" w:rsidRDefault="00286071">
            <w:pPr>
              <w:pStyle w:val="TableRow"/>
            </w:pPr>
            <w:r>
              <w:t>Julie Bainbridge (HT)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8656AA0" w:rsidR="00E66558" w:rsidRDefault="00286071">
            <w:pPr>
              <w:pStyle w:val="TableRow"/>
            </w:pPr>
            <w:r>
              <w:t>Elisabeth Cooke (COG)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F60F247" w:rsidR="00E66558" w:rsidRDefault="009D71E8" w:rsidP="003E75EA">
            <w:pPr>
              <w:pStyle w:val="TableRow"/>
            </w:pPr>
            <w:r>
              <w:t>£</w:t>
            </w:r>
            <w:r w:rsidR="003E75EA">
              <w:t>24,210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EF3F61" w:rsidR="00E66558" w:rsidRDefault="009D71E8">
            <w:pPr>
              <w:pStyle w:val="TableRow"/>
            </w:pPr>
            <w:r>
              <w:t>£</w:t>
            </w:r>
            <w:r w:rsidR="00286071">
              <w:t>2,030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58E3E0D" w:rsidR="00E66558" w:rsidRDefault="009D71E8">
            <w:pPr>
              <w:pStyle w:val="TableRow"/>
            </w:pPr>
            <w:r>
              <w:t>£</w:t>
            </w:r>
            <w:r w:rsidR="0028607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2151F8C" w:rsidR="00E66558" w:rsidRDefault="009D71E8">
            <w:pPr>
              <w:pStyle w:val="TableRow"/>
            </w:pPr>
            <w:r>
              <w:t>£</w:t>
            </w:r>
            <w:r w:rsidR="003E75EA">
              <w:t>26,</w:t>
            </w:r>
            <w:r w:rsidR="0024496A">
              <w:t>2</w:t>
            </w:r>
            <w:r w:rsidR="003E75EA">
              <w:t>4</w:t>
            </w:r>
            <w:r w:rsidR="0024496A">
              <w:t>0</w:t>
            </w:r>
          </w:p>
        </w:tc>
      </w:tr>
    </w:tbl>
    <w:p w14:paraId="2A7D54E4" w14:textId="77777777" w:rsidR="00E66558" w:rsidRDefault="009D71E8" w:rsidP="00584D8F">
      <w:pPr>
        <w:pStyle w:val="Heading1"/>
        <w:spacing w:after="0"/>
      </w:pPr>
      <w:r>
        <w:lastRenderedPageBreak/>
        <w:t>Part A: Pupil premium strategy plan</w:t>
      </w:r>
    </w:p>
    <w:p w14:paraId="2A7D54E5" w14:textId="77777777" w:rsidR="00E66558" w:rsidRDefault="009D71E8" w:rsidP="00584D8F">
      <w:pPr>
        <w:pStyle w:val="Heading2"/>
        <w:spacing w:before="120" w:after="120"/>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0D40" w14:textId="363041CA" w:rsidR="00053536" w:rsidRPr="00F329DD" w:rsidRDefault="0053776C" w:rsidP="00F329DD">
            <w:pPr>
              <w:rPr>
                <w:iCs/>
                <w:sz w:val="22"/>
                <w:szCs w:val="22"/>
              </w:rPr>
            </w:pPr>
            <w:r>
              <w:rPr>
                <w:iCs/>
                <w:sz w:val="22"/>
                <w:szCs w:val="22"/>
              </w:rPr>
              <w:t>Our intention</w:t>
            </w:r>
            <w:r w:rsidR="00053536" w:rsidRPr="00F329DD">
              <w:rPr>
                <w:iCs/>
                <w:sz w:val="22"/>
                <w:szCs w:val="22"/>
              </w:rPr>
              <w:t xml:space="preserve"> is that all children, regardless of background or challenges they face</w:t>
            </w:r>
            <w:r>
              <w:rPr>
                <w:iCs/>
                <w:sz w:val="22"/>
                <w:szCs w:val="22"/>
              </w:rPr>
              <w:t>, make good progress and</w:t>
            </w:r>
            <w:r w:rsidR="00053536" w:rsidRPr="00F329DD">
              <w:rPr>
                <w:iCs/>
                <w:sz w:val="22"/>
                <w:szCs w:val="22"/>
              </w:rPr>
              <w:t xml:space="preserve"> are able to achieve</w:t>
            </w:r>
            <w:r w:rsidR="00451973">
              <w:rPr>
                <w:iCs/>
                <w:sz w:val="22"/>
                <w:szCs w:val="22"/>
              </w:rPr>
              <w:t xml:space="preserve"> standards that are at least</w:t>
            </w:r>
            <w:r w:rsidR="00053536" w:rsidRPr="00F329DD">
              <w:rPr>
                <w:iCs/>
                <w:sz w:val="22"/>
                <w:szCs w:val="22"/>
              </w:rPr>
              <w:t xml:space="preserve"> in line with expectations for their age and year group throughout their primary years and beyond.  </w:t>
            </w:r>
            <w:r w:rsidR="00451973">
              <w:rPr>
                <w:iCs/>
                <w:sz w:val="22"/>
                <w:szCs w:val="22"/>
              </w:rPr>
              <w:t>For pupils already working at higher standards, we will ensure that this continues and that they make good progress from their starting points.</w:t>
            </w:r>
          </w:p>
          <w:p w14:paraId="5B361262" w14:textId="54A92ABD" w:rsidR="00053536" w:rsidRPr="00F329DD" w:rsidRDefault="00451973" w:rsidP="0053776C">
            <w:pPr>
              <w:rPr>
                <w:iCs/>
                <w:sz w:val="22"/>
                <w:szCs w:val="22"/>
              </w:rPr>
            </w:pPr>
            <w:r>
              <w:rPr>
                <w:iCs/>
                <w:sz w:val="22"/>
                <w:szCs w:val="22"/>
              </w:rPr>
              <w:t>When pupils leave Catforth, we want them to do so</w:t>
            </w:r>
            <w:r w:rsidR="00053536" w:rsidRPr="00F329DD">
              <w:rPr>
                <w:iCs/>
                <w:sz w:val="22"/>
                <w:szCs w:val="22"/>
              </w:rPr>
              <w:t xml:space="preserve"> as capable, confident learners, with a great attitude to learning and the ability to regulate their emotions in a way that enables them to access all the learning opportunities on offer to them and therefore achieve their true potential.</w:t>
            </w:r>
            <w:r w:rsidR="00BA7DB4" w:rsidRPr="00F329DD">
              <w:rPr>
                <w:iCs/>
                <w:sz w:val="22"/>
                <w:szCs w:val="22"/>
              </w:rPr>
              <w:t xml:space="preserve"> </w:t>
            </w:r>
            <w:r w:rsidR="0053776C">
              <w:rPr>
                <w:iCs/>
                <w:sz w:val="22"/>
                <w:szCs w:val="22"/>
              </w:rPr>
              <w:t>A key principle of our strategy plan is</w:t>
            </w:r>
            <w:r w:rsidR="00BA7DB4" w:rsidRPr="00F329DD">
              <w:rPr>
                <w:iCs/>
                <w:sz w:val="22"/>
                <w:szCs w:val="22"/>
              </w:rPr>
              <w:t xml:space="preserve"> to provide a nurturing and supportive environment in which all pupils can thrive</w:t>
            </w:r>
            <w:r w:rsidR="003E75EA">
              <w:rPr>
                <w:iCs/>
                <w:sz w:val="22"/>
                <w:szCs w:val="22"/>
              </w:rPr>
              <w:t xml:space="preserve"> and develop good habits</w:t>
            </w:r>
            <w:r w:rsidR="00BA7DB4" w:rsidRPr="00F329DD">
              <w:rPr>
                <w:iCs/>
                <w:sz w:val="22"/>
                <w:szCs w:val="22"/>
              </w:rPr>
              <w:t>.</w:t>
            </w:r>
            <w:r w:rsidR="0053776C">
              <w:rPr>
                <w:iCs/>
                <w:sz w:val="22"/>
                <w:szCs w:val="22"/>
              </w:rPr>
              <w:t xml:space="preserve">  </w:t>
            </w:r>
          </w:p>
          <w:p w14:paraId="6E169007" w14:textId="78D96F3F" w:rsidR="007E3A27" w:rsidRPr="00F329DD" w:rsidRDefault="00BA7DB4" w:rsidP="00BA7DB4">
            <w:pPr>
              <w:rPr>
                <w:iCs/>
                <w:sz w:val="22"/>
                <w:szCs w:val="22"/>
              </w:rPr>
            </w:pPr>
            <w:r w:rsidRPr="00F329DD">
              <w:rPr>
                <w:iCs/>
                <w:sz w:val="22"/>
                <w:szCs w:val="22"/>
              </w:rPr>
              <w:t>Our most importan</w:t>
            </w:r>
            <w:r w:rsidR="0053776C">
              <w:rPr>
                <w:iCs/>
                <w:sz w:val="22"/>
                <w:szCs w:val="22"/>
              </w:rPr>
              <w:t>t focus is to ensure high q</w:t>
            </w:r>
            <w:r w:rsidRPr="00F329DD">
              <w:rPr>
                <w:iCs/>
                <w:sz w:val="22"/>
                <w:szCs w:val="22"/>
              </w:rPr>
              <w:t>u</w:t>
            </w:r>
            <w:r w:rsidR="0053776C">
              <w:rPr>
                <w:iCs/>
                <w:sz w:val="22"/>
                <w:szCs w:val="22"/>
              </w:rPr>
              <w:t>ality t</w:t>
            </w:r>
            <w:r w:rsidRPr="00F329DD">
              <w:rPr>
                <w:iCs/>
                <w:sz w:val="22"/>
                <w:szCs w:val="22"/>
              </w:rPr>
              <w:t xml:space="preserve">eaching for all pupils.  We aim to have an effective teacher in every class and to ensure that all our teachers are supported to keep improving through a comprehensive programme of CPD to encourage and promote continual development.  </w:t>
            </w:r>
          </w:p>
          <w:p w14:paraId="3E0E6165" w14:textId="1109F15B" w:rsidR="00BA7DB4" w:rsidRDefault="00BA7DB4" w:rsidP="00BA7DB4">
            <w:pPr>
              <w:rPr>
                <w:iCs/>
                <w:sz w:val="22"/>
                <w:szCs w:val="22"/>
              </w:rPr>
            </w:pPr>
            <w:r w:rsidRPr="00F329DD">
              <w:rPr>
                <w:iCs/>
                <w:sz w:val="22"/>
                <w:szCs w:val="22"/>
              </w:rPr>
              <w:t>We also aim to close gaps in attainment through a programme of targeted academic support, consisting of effective, evaluated small group and one to one interventions.</w:t>
            </w:r>
            <w:r w:rsidR="00451973">
              <w:rPr>
                <w:iCs/>
                <w:sz w:val="22"/>
                <w:szCs w:val="22"/>
              </w:rPr>
              <w:t xml:space="preserve">  Early intervention is key to ensuring gaps in attainment are kept to a minimum and addressed as quickly as possible.</w:t>
            </w:r>
          </w:p>
          <w:p w14:paraId="5F93EC45" w14:textId="037FE283" w:rsidR="00451973" w:rsidRPr="00451973" w:rsidRDefault="00451973" w:rsidP="00BA7DB4">
            <w:pPr>
              <w:rPr>
                <w:rFonts w:cs="Arial"/>
                <w:color w:val="auto"/>
                <w:sz w:val="22"/>
                <w:szCs w:val="22"/>
              </w:rPr>
            </w:pPr>
            <w:r w:rsidRPr="00451973">
              <w:rPr>
                <w:rFonts w:cs="Arial"/>
                <w:color w:val="auto"/>
                <w:sz w:val="22"/>
                <w:szCs w:val="22"/>
              </w:rPr>
              <w:t xml:space="preserve">Our strategy is also integral to our plans for education recovery following the Covid Pandemic, notably in its targeted support through the National Tutoring Programme for pupils whose education has been worst affected, including non-disadvantaged pupils.    </w:t>
            </w:r>
          </w:p>
          <w:p w14:paraId="4A71AE21" w14:textId="78B1FF16" w:rsidR="00BA7DB4" w:rsidRDefault="00BA7DB4" w:rsidP="00BA7DB4">
            <w:pPr>
              <w:rPr>
                <w:iCs/>
                <w:sz w:val="22"/>
                <w:szCs w:val="22"/>
              </w:rPr>
            </w:pPr>
            <w:r w:rsidRPr="00F329DD">
              <w:rPr>
                <w:iCs/>
                <w:sz w:val="22"/>
                <w:szCs w:val="22"/>
              </w:rPr>
              <w:t xml:space="preserve">We </w:t>
            </w:r>
            <w:r w:rsidR="00451973">
              <w:rPr>
                <w:iCs/>
                <w:sz w:val="22"/>
                <w:szCs w:val="22"/>
              </w:rPr>
              <w:t xml:space="preserve">have </w:t>
            </w:r>
            <w:r w:rsidRPr="00F329DD">
              <w:rPr>
                <w:iCs/>
                <w:sz w:val="22"/>
                <w:szCs w:val="22"/>
              </w:rPr>
              <w:t>also consider</w:t>
            </w:r>
            <w:r w:rsidR="00451973">
              <w:rPr>
                <w:iCs/>
                <w:sz w:val="22"/>
                <w:szCs w:val="22"/>
              </w:rPr>
              <w:t>ed</w:t>
            </w:r>
            <w:r w:rsidRPr="00F329DD">
              <w:rPr>
                <w:iCs/>
                <w:sz w:val="22"/>
                <w:szCs w:val="22"/>
              </w:rPr>
              <w:t xml:space="preserve"> wider strategies which impact on pupil well-being and attainment. These will be specific to our school context an</w:t>
            </w:r>
            <w:r w:rsidR="005D284F" w:rsidRPr="00F329DD">
              <w:rPr>
                <w:iCs/>
                <w:sz w:val="22"/>
                <w:szCs w:val="22"/>
              </w:rPr>
              <w:t>d change with time and pupil circumstances.</w:t>
            </w:r>
          </w:p>
          <w:p w14:paraId="2A7D54E9" w14:textId="07E6A99C" w:rsidR="0053776C" w:rsidRPr="00BA7DB4" w:rsidRDefault="0053776C" w:rsidP="00451973">
            <w:pPr>
              <w:rPr>
                <w:i/>
                <w:iCs/>
              </w:rPr>
            </w:pPr>
            <w:r>
              <w:rPr>
                <w:iCs/>
                <w:sz w:val="22"/>
                <w:szCs w:val="22"/>
              </w:rPr>
              <w:t xml:space="preserve">The ‘Challenges’ identified in this strategy are specific to our school and the needs of Catforth children </w:t>
            </w:r>
            <w:r w:rsidR="00451973">
              <w:rPr>
                <w:iCs/>
                <w:sz w:val="22"/>
                <w:szCs w:val="22"/>
              </w:rPr>
              <w:t xml:space="preserve">eligible for </w:t>
            </w:r>
            <w:r>
              <w:rPr>
                <w:iCs/>
                <w:sz w:val="22"/>
                <w:szCs w:val="22"/>
              </w:rPr>
              <w:t>Pupil Premium. These challenges have bee</w:t>
            </w:r>
            <w:r w:rsidR="00451973">
              <w:rPr>
                <w:iCs/>
                <w:sz w:val="22"/>
                <w:szCs w:val="22"/>
              </w:rPr>
              <w:t>n identified through</w:t>
            </w:r>
            <w:r>
              <w:rPr>
                <w:iCs/>
                <w:sz w:val="22"/>
                <w:szCs w:val="22"/>
              </w:rPr>
              <w:t xml:space="preserve"> analysis of data, including assessments (internal and external), observations, reports from teachers and conversations with children and families.  These </w:t>
            </w:r>
            <w:r w:rsidR="00451973">
              <w:rPr>
                <w:iCs/>
                <w:sz w:val="22"/>
                <w:szCs w:val="22"/>
              </w:rPr>
              <w:t>‘</w:t>
            </w:r>
            <w:r>
              <w:rPr>
                <w:iCs/>
                <w:sz w:val="22"/>
                <w:szCs w:val="22"/>
              </w:rPr>
              <w:t>challenges’</w:t>
            </w:r>
            <w:r w:rsidR="00451973">
              <w:rPr>
                <w:iCs/>
                <w:sz w:val="22"/>
                <w:szCs w:val="22"/>
              </w:rPr>
              <w:t xml:space="preserve"> may change during the lifetime of this Strategy Plan and therefore it will be reviewed regularly, to ensure it is current and still meeting the needs of our vulnerable pupils.</w:t>
            </w:r>
          </w:p>
        </w:tc>
      </w:tr>
    </w:tbl>
    <w:p w14:paraId="2A7D54EB" w14:textId="77777777" w:rsidR="00E66558" w:rsidRDefault="009D71E8" w:rsidP="00584D8F">
      <w:pPr>
        <w:pStyle w:val="Heading2"/>
        <w:spacing w:before="360" w:after="12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7E3A27">
        <w:trPr>
          <w:trHeight w:val="714"/>
        </w:trP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B46C2DB" w:rsidR="00E66558" w:rsidRPr="00102C59" w:rsidRDefault="005D284F">
            <w:pPr>
              <w:pStyle w:val="TableRowCentered"/>
              <w:jc w:val="left"/>
              <w:rPr>
                <w:sz w:val="22"/>
                <w:szCs w:val="22"/>
              </w:rPr>
            </w:pPr>
            <w:r w:rsidRPr="003F4FBD">
              <w:rPr>
                <w:b/>
                <w:sz w:val="22"/>
                <w:szCs w:val="22"/>
              </w:rPr>
              <w:t>Attainment  - maths</w:t>
            </w:r>
            <w:r>
              <w:rPr>
                <w:sz w:val="22"/>
                <w:szCs w:val="22"/>
              </w:rPr>
              <w:t xml:space="preserve">   Assessments and observations show that whilst most disadvantaged children make progress in line with what is expected, (x%) in </w:t>
            </w:r>
            <w:r>
              <w:rPr>
                <w:sz w:val="22"/>
                <w:szCs w:val="22"/>
              </w:rPr>
              <w:lastRenderedPageBreak/>
              <w:t>maths, for many of them, their attainment is still behind that of non-disadvantaged children, with none achieving higher levels.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3749056" w:rsidR="00E66558" w:rsidRDefault="005D284F" w:rsidP="00102C59">
            <w:pPr>
              <w:pStyle w:val="TableRowCentered"/>
              <w:jc w:val="left"/>
              <w:rPr>
                <w:sz w:val="22"/>
                <w:szCs w:val="22"/>
              </w:rPr>
            </w:pPr>
            <w:r>
              <w:rPr>
                <w:b/>
                <w:sz w:val="22"/>
                <w:szCs w:val="22"/>
              </w:rPr>
              <w:t>Attainment  - writing</w:t>
            </w:r>
            <w:r>
              <w:rPr>
                <w:sz w:val="22"/>
                <w:szCs w:val="22"/>
              </w:rPr>
              <w:t xml:space="preserve">   Assessments and observations show that whilst most disadvantaged children make progress in line with what is expected, (x%) in writing, for many of them, their attainment is still behind that of non-disadvantaged children, with none achieving higher levels.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11A4121" w:rsidR="00E66558" w:rsidRDefault="005D284F" w:rsidP="00102C59">
            <w:pPr>
              <w:pStyle w:val="TableRowCentered"/>
              <w:jc w:val="left"/>
              <w:rPr>
                <w:sz w:val="22"/>
                <w:szCs w:val="22"/>
              </w:rPr>
            </w:pPr>
            <w:r w:rsidRPr="005D284F">
              <w:rPr>
                <w:b/>
                <w:iCs/>
                <w:sz w:val="22"/>
              </w:rPr>
              <w:t>PSED and Language</w:t>
            </w:r>
            <w:r>
              <w:rPr>
                <w:iCs/>
                <w:sz w:val="22"/>
              </w:rPr>
              <w:t xml:space="preserve">  Assessments and observations on-entry to reception and nursery, show that attainment in prime areas in the EYFS on-entry are lower than that of non-disadvantaged peers, particularly PSED and Language.  This continues throughout EYFS and into KS1 and 2.  Interventions in Year 1 for phonics are effective in closing the gap, but in other areas of the curriculum, the gap persists through to the end of KS2.</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66162DB" w:rsidR="00E66558" w:rsidRDefault="005D284F" w:rsidP="005D284F">
            <w:pPr>
              <w:pStyle w:val="TableRowCentered"/>
              <w:jc w:val="left"/>
              <w:rPr>
                <w:iCs/>
                <w:sz w:val="22"/>
              </w:rPr>
            </w:pPr>
            <w:r w:rsidRPr="003F4FBD">
              <w:rPr>
                <w:b/>
                <w:sz w:val="22"/>
                <w:szCs w:val="22"/>
              </w:rPr>
              <w:t>Attendance and punctuality.</w:t>
            </w:r>
            <w:r w:rsidRPr="00102C59">
              <w:rPr>
                <w:sz w:val="22"/>
                <w:szCs w:val="22"/>
              </w:rPr>
              <w:t xml:space="preserve"> We have seen a sharp rise in levels of absence and lateness since returning to normal schooling following the pandemic. This is particularly prevalent amongst our disadvantaged children.  Prior to this, our levels of attendance were consistently higher than local and national levels, with no persistent absence. This has now changed and is beginning to impact on progress and attainment, particularly for our disadvant</w:t>
            </w:r>
            <w:r>
              <w:rPr>
                <w:sz w:val="22"/>
                <w:szCs w:val="22"/>
              </w:rPr>
              <w:t>ag</w:t>
            </w:r>
            <w:r w:rsidRPr="00102C59">
              <w:rPr>
                <w:sz w:val="22"/>
                <w:szCs w:val="22"/>
              </w:rPr>
              <w:t>ed children.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741531A" w:rsidR="00E66558" w:rsidRDefault="005D284F">
            <w:pPr>
              <w:pStyle w:val="TableRowCentered"/>
              <w:jc w:val="left"/>
              <w:rPr>
                <w:iCs/>
                <w:sz w:val="22"/>
              </w:rPr>
            </w:pPr>
            <w:r>
              <w:rPr>
                <w:b/>
                <w:iCs/>
                <w:sz w:val="22"/>
              </w:rPr>
              <w:t xml:space="preserve">Pupil </w:t>
            </w:r>
            <w:r w:rsidR="003F4FBD" w:rsidRPr="003F4FBD">
              <w:rPr>
                <w:b/>
                <w:iCs/>
                <w:sz w:val="22"/>
              </w:rPr>
              <w:t>Well-being</w:t>
            </w:r>
            <w:r w:rsidR="003F4FBD">
              <w:rPr>
                <w:iCs/>
                <w:sz w:val="22"/>
              </w:rPr>
              <w:t xml:space="preserve">  </w:t>
            </w:r>
            <w:r w:rsidR="00102C59">
              <w:rPr>
                <w:iCs/>
                <w:sz w:val="22"/>
              </w:rPr>
              <w:t xml:space="preserve">The number of concerns raised by teachers regarding pupil well-being is significantly higher for disadvantaged pupils than for non-disadvantaged pupils. This can be for a variety of reasons, but particularly </w:t>
            </w:r>
            <w:r w:rsidR="005738E4">
              <w:rPr>
                <w:iCs/>
                <w:sz w:val="22"/>
              </w:rPr>
              <w:t>social and emotional factors within the family.  This impacts negatively on engagement and attainment.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C6C504C" w:rsidR="00E66558" w:rsidRPr="005D284F" w:rsidRDefault="005D284F" w:rsidP="005D284F">
            <w:pPr>
              <w:pStyle w:val="TableRow"/>
              <w:ind w:left="0"/>
            </w:pPr>
            <w:r w:rsidRPr="005D284F">
              <w:rPr>
                <w:iCs/>
                <w:sz w:val="22"/>
                <w:szCs w:val="22"/>
              </w:rPr>
              <w:t>Improved attainment in maths for disadvantaged children, including at higher levels.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1B0C644" w:rsidR="00E66558" w:rsidRPr="002E7413" w:rsidRDefault="002E7413" w:rsidP="001F671F">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show that </w:t>
            </w:r>
            <w:r>
              <w:rPr>
                <w:rStyle w:val="CommentReference"/>
                <w:color w:val="auto"/>
              </w:rPr>
              <w:t>the attainment of</w:t>
            </w:r>
            <w:r w:rsidRPr="00E27862">
              <w:rPr>
                <w:rStyle w:val="CommentReference"/>
                <w:color w:val="auto"/>
              </w:rPr>
              <w:t xml:space="preserve"> </w:t>
            </w:r>
            <w:r w:rsidR="001F671F">
              <w:rPr>
                <w:rStyle w:val="CommentReference"/>
                <w:color w:val="auto"/>
              </w:rPr>
              <w:t xml:space="preserve">the majority of </w:t>
            </w:r>
            <w:r w:rsidRPr="00E27862">
              <w:rPr>
                <w:rStyle w:val="CommentReference"/>
                <w:color w:val="auto"/>
              </w:rPr>
              <w:t xml:space="preserve">disadvantaged pupils </w:t>
            </w:r>
            <w:r>
              <w:rPr>
                <w:rStyle w:val="CommentReference"/>
                <w:color w:val="auto"/>
              </w:rPr>
              <w:t>is at the</w:t>
            </w:r>
            <w:r w:rsidR="001F671F">
              <w:rPr>
                <w:rStyle w:val="CommentReference"/>
                <w:color w:val="auto"/>
              </w:rPr>
              <w:t xml:space="preserve"> expected standard and at least one pupil (out of 3) achieves higher levels.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251285D" w:rsidR="00E66558" w:rsidRDefault="005D284F">
            <w:pPr>
              <w:pStyle w:val="TableRow"/>
              <w:rPr>
                <w:sz w:val="22"/>
                <w:szCs w:val="22"/>
              </w:rPr>
            </w:pPr>
            <w:r>
              <w:rPr>
                <w:sz w:val="22"/>
                <w:szCs w:val="22"/>
              </w:rPr>
              <w:t>Improved attainment in writing for disadvantaged children, including at higher levels.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5ADD1EE" w:rsidR="00E66558" w:rsidRPr="001F671F" w:rsidRDefault="001F671F" w:rsidP="001F671F">
            <w:pPr>
              <w:pStyle w:val="TableRowCentered"/>
              <w:spacing w:after="120"/>
              <w:jc w:val="left"/>
              <w:rPr>
                <w:rFonts w:cs="Arial"/>
                <w:color w:val="auto"/>
                <w:szCs w:val="24"/>
                <w:lang w:eastAsia="en-US"/>
              </w:rPr>
            </w:pPr>
            <w:r w:rsidRPr="00E27862">
              <w:rPr>
                <w:rFonts w:cs="Arial"/>
                <w:color w:val="auto"/>
              </w:rPr>
              <w:t>KS2</w:t>
            </w:r>
            <w:r>
              <w:rPr>
                <w:rFonts w:cs="Arial"/>
                <w:color w:val="auto"/>
                <w:szCs w:val="24"/>
                <w:lang w:eastAsia="en-US"/>
              </w:rPr>
              <w:t xml:space="preserve"> writing</w:t>
            </w:r>
            <w:r w:rsidRPr="00E27862">
              <w:rPr>
                <w:rFonts w:cs="Arial"/>
                <w:color w:val="auto"/>
                <w:szCs w:val="24"/>
                <w:lang w:eastAsia="en-US"/>
              </w:rPr>
              <w:t xml:space="preserve"> outcomes in 2024/25 show that </w:t>
            </w:r>
            <w:r>
              <w:rPr>
                <w:rStyle w:val="CommentReference"/>
              </w:rPr>
              <w:t xml:space="preserve">the attainment of </w:t>
            </w:r>
            <w:r>
              <w:rPr>
                <w:rStyle w:val="CommentReference"/>
                <w:color w:val="auto"/>
              </w:rPr>
              <w:t>the majority of</w:t>
            </w:r>
            <w:r w:rsidRPr="00E27862">
              <w:rPr>
                <w:rStyle w:val="CommentReference"/>
                <w:color w:val="auto"/>
              </w:rPr>
              <w:t xml:space="preserve"> disadvantaged pupils met </w:t>
            </w:r>
            <w:r>
              <w:rPr>
                <w:rStyle w:val="CommentReference"/>
                <w:color w:val="auto"/>
              </w:rPr>
              <w:t>the expected standard and at least one pupil (out of 3)  achieves higher levels.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4C2A7D7" w:rsidR="00E66558" w:rsidRDefault="005D284F" w:rsidP="001F671F">
            <w:pPr>
              <w:pStyle w:val="TableRow"/>
              <w:rPr>
                <w:sz w:val="22"/>
                <w:szCs w:val="22"/>
              </w:rPr>
            </w:pPr>
            <w:r>
              <w:rPr>
                <w:sz w:val="22"/>
                <w:szCs w:val="22"/>
              </w:rPr>
              <w:t>Improved</w:t>
            </w:r>
            <w:r w:rsidR="001F671F">
              <w:rPr>
                <w:sz w:val="22"/>
                <w:szCs w:val="22"/>
              </w:rPr>
              <w:t xml:space="preserve"> PSED and language skills begins in EYFS and</w:t>
            </w:r>
            <w:r>
              <w:rPr>
                <w:sz w:val="22"/>
                <w:szCs w:val="22"/>
              </w:rPr>
              <w:t xml:space="preserve"> which continues through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84F5E" w14:textId="77777777" w:rsidR="001F671F" w:rsidRDefault="001F671F">
            <w:pPr>
              <w:pStyle w:val="TableRowCentered"/>
              <w:jc w:val="left"/>
              <w:rPr>
                <w:sz w:val="22"/>
                <w:szCs w:val="22"/>
              </w:rPr>
            </w:pPr>
            <w:r>
              <w:rPr>
                <w:sz w:val="22"/>
                <w:szCs w:val="22"/>
              </w:rPr>
              <w:t>By 2024/25;</w:t>
            </w:r>
          </w:p>
          <w:p w14:paraId="06C1860C" w14:textId="77777777" w:rsidR="00E66558" w:rsidRDefault="001F671F">
            <w:pPr>
              <w:pStyle w:val="TableRowCentered"/>
              <w:jc w:val="left"/>
              <w:rPr>
                <w:sz w:val="22"/>
                <w:szCs w:val="22"/>
              </w:rPr>
            </w:pPr>
            <w:r>
              <w:rPr>
                <w:sz w:val="22"/>
                <w:szCs w:val="22"/>
              </w:rPr>
              <w:t>Evidence/data shows rapid improvements in PSED in EYFS. There is a consistent approach to SEL across the school due to an effective programme of CPD for all staff.</w:t>
            </w:r>
          </w:p>
          <w:p w14:paraId="2A7D550B" w14:textId="22B3386A" w:rsidR="001F671F" w:rsidRDefault="001F671F">
            <w:pPr>
              <w:pStyle w:val="TableRowCentered"/>
              <w:jc w:val="left"/>
              <w:rPr>
                <w:sz w:val="22"/>
                <w:szCs w:val="22"/>
              </w:rPr>
            </w:pPr>
            <w:r>
              <w:rPr>
                <w:sz w:val="22"/>
                <w:szCs w:val="22"/>
              </w:rPr>
              <w:t>Language skills are also improved, and lead to more fluency when reading and therefore improved comprehension</w:t>
            </w:r>
            <w:r w:rsidR="00AD7260">
              <w:rPr>
                <w:sz w:val="22"/>
                <w:szCs w:val="22"/>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940219F" w:rsidR="00E66558" w:rsidRDefault="005D284F" w:rsidP="005D284F">
            <w:pPr>
              <w:pStyle w:val="TableRow"/>
              <w:ind w:left="0"/>
              <w:rPr>
                <w:sz w:val="22"/>
                <w:szCs w:val="22"/>
              </w:rPr>
            </w:pPr>
            <w:r>
              <w:rPr>
                <w:sz w:val="22"/>
                <w:szCs w:val="22"/>
              </w:rPr>
              <w:lastRenderedPageBreak/>
              <w:t>Gradually improved attendance and punctuality for disadvantaged children, to bring it in line with non-disadvantaged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28F4" w14:textId="45FDACC4" w:rsidR="005D284F" w:rsidRPr="002E7413" w:rsidRDefault="005D284F" w:rsidP="002E7413">
            <w:pPr>
              <w:suppressAutoHyphens w:val="0"/>
              <w:autoSpaceDN/>
              <w:spacing w:before="60" w:after="60" w:line="240" w:lineRule="auto"/>
              <w:ind w:right="57"/>
              <w:rPr>
                <w:rFonts w:cs="Arial"/>
                <w:color w:val="auto"/>
              </w:rPr>
            </w:pPr>
            <w:r>
              <w:rPr>
                <w:rFonts w:cs="Arial"/>
                <w:color w:val="auto"/>
              </w:rPr>
              <w:t>By 2024/25;</w:t>
            </w:r>
            <w:r w:rsidR="002E7413">
              <w:rPr>
                <w:rFonts w:cs="Arial"/>
                <w:color w:val="auto"/>
              </w:rPr>
              <w:br/>
              <w:t>T</w:t>
            </w:r>
            <w:r w:rsidRPr="002E7413">
              <w:rPr>
                <w:rFonts w:cs="Arial"/>
                <w:color w:val="auto"/>
              </w:rPr>
              <w:t xml:space="preserve">he overall absence rate for all pupils is back to pre-pandemic levels, ( %,) and the attendance gap between disadvantaged pupils and their non-disadvantaged peers </w:t>
            </w:r>
            <w:r w:rsidR="002E7413" w:rsidRPr="002E7413">
              <w:rPr>
                <w:rFonts w:cs="Arial"/>
                <w:color w:val="auto"/>
              </w:rPr>
              <w:t>is</w:t>
            </w:r>
            <w:r w:rsidRPr="002E7413">
              <w:rPr>
                <w:rFonts w:cs="Arial"/>
                <w:color w:val="auto"/>
              </w:rPr>
              <w:t xml:space="preserve"> </w:t>
            </w:r>
            <w:r w:rsidR="002E7413" w:rsidRPr="002E7413">
              <w:rPr>
                <w:rFonts w:cs="Arial"/>
                <w:color w:val="auto"/>
              </w:rPr>
              <w:t>greatly reduced.</w:t>
            </w:r>
          </w:p>
          <w:p w14:paraId="2A7D550E" w14:textId="4B87F540" w:rsidR="00E66558" w:rsidRDefault="002E7413" w:rsidP="002E7413">
            <w:pPr>
              <w:pStyle w:val="TableRowCentered"/>
              <w:ind w:left="0"/>
              <w:jc w:val="left"/>
              <w:rPr>
                <w:sz w:val="22"/>
                <w:szCs w:val="22"/>
              </w:rPr>
            </w:pPr>
            <w:r>
              <w:rPr>
                <w:rFonts w:cs="Arial"/>
                <w:color w:val="auto"/>
              </w:rPr>
              <w:t>Persistent absence</w:t>
            </w:r>
            <w:r w:rsidR="005D284F" w:rsidRPr="00E27862">
              <w:rPr>
                <w:rFonts w:cs="Arial"/>
                <w:color w:val="auto"/>
              </w:rPr>
              <w:t xml:space="preserve"> </w:t>
            </w:r>
            <w:r>
              <w:rPr>
                <w:rFonts w:cs="Arial"/>
                <w:color w:val="auto"/>
              </w:rPr>
              <w:t>for non-disadvantaged pupils is back to zero, and for disadvantaged pupils, very low (maximum 1 or 2 pupils)</w:t>
            </w:r>
          </w:p>
        </w:tc>
      </w:tr>
      <w:tr w:rsidR="005D284F" w14:paraId="3E6764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B72D" w14:textId="45352568" w:rsidR="005D284F" w:rsidRDefault="005D284F">
            <w:pPr>
              <w:pStyle w:val="TableRow"/>
              <w:rPr>
                <w:sz w:val="22"/>
                <w:szCs w:val="22"/>
              </w:rPr>
            </w:pPr>
            <w:r>
              <w:rPr>
                <w:sz w:val="22"/>
                <w:szCs w:val="22"/>
              </w:rPr>
              <w:t>Pupil well-being is improved. Social and emotional factors are well-regulated and do not impact on attainment.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0AD1" w14:textId="77777777" w:rsidR="005D284F" w:rsidRDefault="005D284F">
            <w:pPr>
              <w:pStyle w:val="TableRowCentered"/>
              <w:jc w:val="left"/>
              <w:rPr>
                <w:sz w:val="22"/>
                <w:szCs w:val="22"/>
              </w:rPr>
            </w:pPr>
            <w:r>
              <w:rPr>
                <w:sz w:val="22"/>
                <w:szCs w:val="22"/>
              </w:rPr>
              <w:t xml:space="preserve">By 2024/25 </w:t>
            </w:r>
          </w:p>
          <w:p w14:paraId="48549583" w14:textId="7D088D11" w:rsidR="005D284F" w:rsidRDefault="005D284F">
            <w:pPr>
              <w:pStyle w:val="TableRowCentered"/>
              <w:jc w:val="left"/>
              <w:rPr>
                <w:sz w:val="22"/>
                <w:szCs w:val="22"/>
              </w:rPr>
            </w:pPr>
            <w:r>
              <w:rPr>
                <w:sz w:val="22"/>
                <w:szCs w:val="22"/>
              </w:rPr>
              <w:t>Pupils confidence</w:t>
            </w:r>
            <w:r w:rsidR="002E7413">
              <w:rPr>
                <w:sz w:val="22"/>
                <w:szCs w:val="22"/>
              </w:rPr>
              <w:t xml:space="preserve"> and self-esteem is improved. </w:t>
            </w:r>
            <w:r>
              <w:rPr>
                <w:sz w:val="22"/>
                <w:szCs w:val="22"/>
              </w:rPr>
              <w:t>This is evidenced through well-being questionnaires.</w:t>
            </w:r>
          </w:p>
          <w:p w14:paraId="4C18B292" w14:textId="77777777" w:rsidR="002E7413" w:rsidRDefault="002E7413">
            <w:pPr>
              <w:pStyle w:val="TableRowCentered"/>
              <w:jc w:val="left"/>
              <w:rPr>
                <w:sz w:val="22"/>
                <w:szCs w:val="22"/>
              </w:rPr>
            </w:pPr>
            <w:r>
              <w:rPr>
                <w:sz w:val="22"/>
                <w:szCs w:val="22"/>
              </w:rPr>
              <w:t>Behaviour for Learning in classrooms is good for all pupils.</w:t>
            </w:r>
          </w:p>
          <w:p w14:paraId="6A876C5E" w14:textId="3E94416E" w:rsidR="002E7413" w:rsidRDefault="002E7413">
            <w:pPr>
              <w:pStyle w:val="TableRowCentered"/>
              <w:jc w:val="left"/>
              <w:rPr>
                <w:sz w:val="22"/>
                <w:szCs w:val="22"/>
              </w:rPr>
            </w:pPr>
            <w:r>
              <w:rPr>
                <w:sz w:val="22"/>
                <w:szCs w:val="22"/>
              </w:rPr>
              <w:t>Behaviour around school is also good, with  all pupils showing good levels of empathy for others.</w:t>
            </w:r>
          </w:p>
          <w:p w14:paraId="3DAA03FA" w14:textId="6E42C788" w:rsidR="005D284F" w:rsidRDefault="002E7413" w:rsidP="002E7413">
            <w:pPr>
              <w:pStyle w:val="TableRowCentered"/>
              <w:jc w:val="left"/>
              <w:rPr>
                <w:sz w:val="22"/>
                <w:szCs w:val="22"/>
              </w:rPr>
            </w:pPr>
            <w:r>
              <w:rPr>
                <w:sz w:val="22"/>
                <w:szCs w:val="22"/>
              </w:rPr>
              <w:t>All pupils, including disadvantaged pupils, are able to self-regulate and manage their emotions appropriately. They are resilient and are developing a range of strategies which enable them to deal positively with difficult family circumstances if necessary.</w:t>
            </w:r>
          </w:p>
        </w:tc>
      </w:tr>
    </w:tbl>
    <w:p w14:paraId="60BAD9F6" w14:textId="6855507A"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E017B4" w:rsidR="00E66558" w:rsidRDefault="00AD7260">
      <w:r>
        <w:t>Budgeted cost: £</w:t>
      </w:r>
      <w:r w:rsidR="003E75EA">
        <w:t>11,000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19" w14:textId="77777777" w:rsidTr="00E705E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E705E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BE23E30" w:rsidR="00E66558" w:rsidRPr="00045748" w:rsidRDefault="00E705E9" w:rsidP="00E705E9">
            <w:pPr>
              <w:pStyle w:val="TableRow"/>
              <w:rPr>
                <w:sz w:val="22"/>
                <w:szCs w:val="22"/>
              </w:rPr>
            </w:pPr>
            <w:r w:rsidRPr="00045748">
              <w:rPr>
                <w:sz w:val="22"/>
                <w:szCs w:val="22"/>
              </w:rPr>
              <w:t xml:space="preserve">CPD for teachers (internal or external provider) and support staff and </w:t>
            </w:r>
            <w:r w:rsidR="005F40DF" w:rsidRPr="00045748">
              <w:rPr>
                <w:sz w:val="22"/>
                <w:szCs w:val="22"/>
              </w:rPr>
              <w:t>own</w:t>
            </w:r>
            <w:r w:rsidRPr="00045748">
              <w:rPr>
                <w:sz w:val="22"/>
                <w:szCs w:val="22"/>
              </w:rPr>
              <w:t xml:space="preserve"> to enable development of growth mindsets in school.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B6C9" w14:textId="77777777" w:rsidR="00E66558" w:rsidRDefault="00E705E9">
            <w:pPr>
              <w:pStyle w:val="TableRowCentered"/>
              <w:jc w:val="left"/>
              <w:rPr>
                <w:b/>
                <w:sz w:val="22"/>
              </w:rPr>
            </w:pPr>
            <w:r>
              <w:rPr>
                <w:sz w:val="22"/>
              </w:rPr>
              <w:t xml:space="preserve">EEF funded research programme “Changing Mindsets” showed that working with children to develop a growth mindset can increase academic attainment by an additional </w:t>
            </w:r>
            <w:r w:rsidRPr="00E705E9">
              <w:rPr>
                <w:b/>
                <w:sz w:val="22"/>
              </w:rPr>
              <w:t>2 months.</w:t>
            </w:r>
          </w:p>
          <w:p w14:paraId="2A7D551B" w14:textId="56DEF5C3" w:rsidR="00E705E9" w:rsidRPr="00E705E9" w:rsidRDefault="00E705E9">
            <w:pPr>
              <w:pStyle w:val="TableRowCentered"/>
              <w:jc w:val="left"/>
              <w:rPr>
                <w:rFonts w:cs="Arial"/>
                <w:szCs w:val="24"/>
              </w:rPr>
            </w:pPr>
            <w:r>
              <w:rPr>
                <w:rFonts w:ascii="Helvetica" w:hAnsi="Helvetica"/>
                <w:color w:val="263238"/>
                <w:sz w:val="30"/>
                <w:szCs w:val="30"/>
                <w:shd w:val="clear" w:color="auto" w:fill="FFFFFF"/>
              </w:rPr>
              <w:t> </w:t>
            </w:r>
            <w:r w:rsidRPr="00E705E9">
              <w:rPr>
                <w:rFonts w:cs="Arial"/>
                <w:color w:val="263238"/>
                <w:szCs w:val="24"/>
                <w:shd w:val="clear" w:color="auto" w:fill="FFFFFF"/>
              </w:rPr>
              <w:t>The theory behind this is</w:t>
            </w:r>
            <w:r>
              <w:rPr>
                <w:rFonts w:cs="Arial"/>
                <w:color w:val="263238"/>
                <w:szCs w:val="24"/>
                <w:shd w:val="clear" w:color="auto" w:fill="FFFFFF"/>
              </w:rPr>
              <w:t>,</w:t>
            </w:r>
            <w:r>
              <w:rPr>
                <w:rFonts w:ascii="Helvetica" w:hAnsi="Helvetica"/>
                <w:color w:val="263238"/>
                <w:sz w:val="30"/>
                <w:szCs w:val="30"/>
                <w:shd w:val="clear" w:color="auto" w:fill="FFFFFF"/>
              </w:rPr>
              <w:t xml:space="preserve"> “</w:t>
            </w:r>
            <w:r w:rsidRPr="00E705E9">
              <w:rPr>
                <w:rFonts w:cs="Arial"/>
                <w:color w:val="263238"/>
                <w:szCs w:val="24"/>
                <w:shd w:val="clear" w:color="auto" w:fill="FFFFFF"/>
              </w:rPr>
              <w:t>the belief that intelligence is not a fixed characteristic and can be increased through effort. Previous research (Good et al., 2003; Blackwell et al., 2007) has suggested that holding this belief enables pupils to work harder and achieve better results.</w:t>
            </w:r>
            <w:r>
              <w:rPr>
                <w:rFonts w:cs="Arial"/>
                <w:color w:val="263238"/>
                <w:szCs w:val="24"/>
                <w:shd w:val="clear" w:color="auto" w:fill="FFFFFF"/>
              </w:rPr>
              <w:t>”</w:t>
            </w:r>
            <w:r w:rsidR="005F40DF">
              <w:rPr>
                <w:rFonts w:cs="Arial"/>
                <w:color w:val="263238"/>
                <w:szCs w:val="24"/>
                <w:shd w:val="clear" w:color="auto" w:fill="FFFFFF"/>
              </w:rPr>
              <w:t xml:space="preserve">         </w:t>
            </w:r>
            <w:r w:rsidR="005F40DF" w:rsidRPr="005F40DF">
              <w:rPr>
                <w:rFonts w:cs="Arial"/>
                <w:i/>
                <w:color w:val="263238"/>
                <w:sz w:val="22"/>
                <w:szCs w:val="22"/>
                <w:shd w:val="clear" w:color="auto" w:fill="FFFFFF"/>
              </w:rPr>
              <w:t>Education Endowment Fund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10EC932" w:rsidR="00E66558" w:rsidRDefault="00E705E9">
            <w:pPr>
              <w:pStyle w:val="TableRowCentered"/>
              <w:jc w:val="left"/>
              <w:rPr>
                <w:sz w:val="22"/>
              </w:rPr>
            </w:pPr>
            <w:r>
              <w:rPr>
                <w:sz w:val="22"/>
              </w:rPr>
              <w:t>1,2,3</w:t>
            </w:r>
            <w:r w:rsidR="007309C9">
              <w:rPr>
                <w:sz w:val="22"/>
              </w:rPr>
              <w:t>,5</w:t>
            </w:r>
          </w:p>
        </w:tc>
      </w:tr>
      <w:tr w:rsidR="00E66558" w14:paraId="2A7D5521" w14:textId="77777777" w:rsidTr="00E705E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03D0338" w:rsidR="00E66558" w:rsidRPr="00E705E9" w:rsidRDefault="007309C9" w:rsidP="007309C9">
            <w:pPr>
              <w:pStyle w:val="TableRow"/>
              <w:rPr>
                <w:sz w:val="22"/>
              </w:rPr>
            </w:pPr>
            <w:r>
              <w:rPr>
                <w:sz w:val="22"/>
              </w:rPr>
              <w:t>Improve teachers’ subject knowledge in English and maths by attending y</w:t>
            </w:r>
            <w:r w:rsidR="00E705E9">
              <w:rPr>
                <w:sz w:val="22"/>
              </w:rPr>
              <w:t>ear-group-specific training for all teachers</w:t>
            </w:r>
            <w:r>
              <w:rPr>
                <w:sz w:val="22"/>
              </w:rPr>
              <w:t xml:space="preserve"> for the year groups they teach.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8CC28" w14:textId="77777777" w:rsidR="00E66558" w:rsidRDefault="007309C9" w:rsidP="007309C9">
            <w:pPr>
              <w:pStyle w:val="TableRowCentered"/>
              <w:jc w:val="left"/>
              <w:rPr>
                <w:sz w:val="22"/>
              </w:rPr>
            </w:pPr>
            <w:r>
              <w:rPr>
                <w:sz w:val="22"/>
              </w:rPr>
              <w:t>It is widely accepted that good teacher subject knowledge of the curriculum being taught ensures children are able to access suitable learning activities in the classroom.</w:t>
            </w:r>
          </w:p>
          <w:p w14:paraId="2A7D551F" w14:textId="4A112972" w:rsidR="007309C9" w:rsidRDefault="007309C9" w:rsidP="007309C9">
            <w:pPr>
              <w:pStyle w:val="TableRowCentered"/>
              <w:jc w:val="left"/>
              <w:rPr>
                <w:sz w:val="22"/>
              </w:rPr>
            </w:pPr>
            <w:r>
              <w:rPr>
                <w:sz w:val="22"/>
              </w:rPr>
              <w:t>Characteristics of learners change as children mature and the training provided ensures teachers are aware of this and able to respond appropriately.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F6FDA1A" w:rsidR="00E66558" w:rsidRDefault="007309C9">
            <w:pPr>
              <w:pStyle w:val="TableRowCentered"/>
              <w:jc w:val="left"/>
              <w:rPr>
                <w:sz w:val="22"/>
              </w:rPr>
            </w:pPr>
            <w:r>
              <w:rPr>
                <w:sz w:val="22"/>
              </w:rPr>
              <w:t>1,2,3</w:t>
            </w:r>
          </w:p>
        </w:tc>
      </w:tr>
      <w:tr w:rsidR="007309C9" w14:paraId="33860D33" w14:textId="77777777" w:rsidTr="00E705E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93E3" w14:textId="38B52336" w:rsidR="007309C9" w:rsidRDefault="007309C9" w:rsidP="007309C9">
            <w:pPr>
              <w:pStyle w:val="TableRow"/>
              <w:rPr>
                <w:sz w:val="22"/>
              </w:rPr>
            </w:pPr>
            <w:r>
              <w:rPr>
                <w:sz w:val="22"/>
              </w:rPr>
              <w:t>Work with the North West Maths Hub on the implementation of Maths Mastery.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B2C94" w14:textId="5166F02E" w:rsidR="007309C9" w:rsidRDefault="00897700" w:rsidP="00897700">
            <w:pPr>
              <w:pStyle w:val="TableRowCentered"/>
              <w:jc w:val="left"/>
              <w:rPr>
                <w:sz w:val="22"/>
              </w:rPr>
            </w:pPr>
            <w:r>
              <w:rPr>
                <w:sz w:val="22"/>
              </w:rPr>
              <w:t>This approach has been shown to be effective in enabling all children to achieve in maths. It incorporates a growth mindset approach so fits very nicely alongside our work on developing a growth mindset with children in the classroom.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9FDB0" w14:textId="7518FD7F" w:rsidR="007309C9" w:rsidRDefault="00897700">
            <w:pPr>
              <w:pStyle w:val="TableRowCentered"/>
              <w:jc w:val="left"/>
              <w:rPr>
                <w:sz w:val="22"/>
              </w:rPr>
            </w:pPr>
            <w:r>
              <w:rPr>
                <w:sz w:val="22"/>
              </w:rPr>
              <w:t>1,5</w:t>
            </w:r>
          </w:p>
        </w:tc>
      </w:tr>
    </w:tbl>
    <w:p w14:paraId="2A7D5522" w14:textId="7C8D0BF8"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F4174CB" w:rsidR="00E66558" w:rsidRDefault="00584D8F">
      <w:r>
        <w:t>Budgeted cost: £10,44</w:t>
      </w:r>
      <w:r w:rsidR="003E75EA">
        <w:t>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28"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7F95" w14:textId="132ECE6C" w:rsidR="00E66558" w:rsidRDefault="00897700">
            <w:pPr>
              <w:pStyle w:val="TableRow"/>
              <w:rPr>
                <w:iCs/>
                <w:sz w:val="22"/>
                <w:szCs w:val="22"/>
              </w:rPr>
            </w:pPr>
            <w:r>
              <w:rPr>
                <w:iCs/>
                <w:sz w:val="22"/>
                <w:szCs w:val="22"/>
              </w:rPr>
              <w:t>TA led interventions, in small groups (max 3) or 1:1.</w:t>
            </w:r>
          </w:p>
          <w:p w14:paraId="252F4E0C" w14:textId="77777777" w:rsidR="00897700" w:rsidRDefault="00897700" w:rsidP="00A24E71">
            <w:pPr>
              <w:pStyle w:val="TableRow"/>
              <w:numPr>
                <w:ilvl w:val="0"/>
                <w:numId w:val="16"/>
              </w:numPr>
              <w:rPr>
                <w:iCs/>
                <w:sz w:val="22"/>
                <w:szCs w:val="22"/>
              </w:rPr>
            </w:pPr>
            <w:r>
              <w:rPr>
                <w:iCs/>
                <w:sz w:val="22"/>
                <w:szCs w:val="22"/>
              </w:rPr>
              <w:lastRenderedPageBreak/>
              <w:t>CatchUp maths</w:t>
            </w:r>
          </w:p>
          <w:p w14:paraId="11356B31" w14:textId="77777777" w:rsidR="00897700" w:rsidRDefault="00897700" w:rsidP="00A24E71">
            <w:pPr>
              <w:pStyle w:val="TableRow"/>
              <w:numPr>
                <w:ilvl w:val="0"/>
                <w:numId w:val="16"/>
              </w:numPr>
              <w:rPr>
                <w:iCs/>
                <w:sz w:val="22"/>
                <w:szCs w:val="22"/>
              </w:rPr>
            </w:pPr>
            <w:r>
              <w:rPr>
                <w:iCs/>
                <w:sz w:val="22"/>
                <w:szCs w:val="22"/>
              </w:rPr>
              <w:t>Improving Working Memory</w:t>
            </w:r>
          </w:p>
          <w:p w14:paraId="3068C1C4" w14:textId="77777777" w:rsidR="00897700" w:rsidRPr="00A24E71" w:rsidRDefault="00897700" w:rsidP="00A24E71">
            <w:pPr>
              <w:pStyle w:val="TableRow"/>
              <w:numPr>
                <w:ilvl w:val="0"/>
                <w:numId w:val="16"/>
              </w:numPr>
            </w:pPr>
            <w:r>
              <w:rPr>
                <w:iCs/>
                <w:sz w:val="22"/>
                <w:szCs w:val="22"/>
              </w:rPr>
              <w:t>NELI</w:t>
            </w:r>
          </w:p>
          <w:p w14:paraId="2A7D5529" w14:textId="3DDE45DC" w:rsidR="00A24E71" w:rsidRPr="00897700" w:rsidRDefault="00A24E71" w:rsidP="00A24E71">
            <w:pPr>
              <w:pStyle w:val="TableRow"/>
              <w:numPr>
                <w:ilvl w:val="0"/>
                <w:numId w:val="16"/>
              </w:numPr>
            </w:pPr>
            <w:r>
              <w:rPr>
                <w:iCs/>
                <w:sz w:val="22"/>
                <w:szCs w:val="22"/>
              </w:rPr>
              <w:t>Reading Fluency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736AD20" w:rsidR="00E66558" w:rsidRPr="00897700" w:rsidRDefault="00897700" w:rsidP="00897700">
            <w:pPr>
              <w:pStyle w:val="TableRowCentered"/>
              <w:jc w:val="left"/>
              <w:rPr>
                <w:color w:val="auto"/>
                <w:sz w:val="22"/>
              </w:rPr>
            </w:pPr>
            <w:r>
              <w:rPr>
                <w:sz w:val="22"/>
              </w:rPr>
              <w:lastRenderedPageBreak/>
              <w:t xml:space="preserve">EEF funded research shows that targeted work, where teaching assistants are trained to deliver an intervention to small groups of individuals can </w:t>
            </w:r>
            <w:r>
              <w:rPr>
                <w:sz w:val="22"/>
              </w:rPr>
              <w:lastRenderedPageBreak/>
              <w:t>have a positive impact on outcomes for children and on average, where the delivery is of a high quality, can lead to an additional 4 months of progress during the year.</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652B08A" w:rsidR="00E66558" w:rsidRDefault="00897700">
            <w:pPr>
              <w:pStyle w:val="TableRowCentered"/>
              <w:jc w:val="left"/>
              <w:rPr>
                <w:sz w:val="22"/>
              </w:rPr>
            </w:pPr>
            <w:r>
              <w:rPr>
                <w:sz w:val="22"/>
              </w:rPr>
              <w:lastRenderedPageBreak/>
              <w:t>1,2,3,5</w:t>
            </w:r>
          </w:p>
        </w:tc>
      </w:tr>
      <w:tr w:rsidR="00E66558" w14:paraId="2A7D5530"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D4B6AB6" w:rsidR="00E66558" w:rsidRPr="00897700" w:rsidRDefault="00897700">
            <w:pPr>
              <w:pStyle w:val="TableRow"/>
              <w:rPr>
                <w:sz w:val="22"/>
              </w:rPr>
            </w:pPr>
            <w:r>
              <w:rPr>
                <w:sz w:val="22"/>
              </w:rPr>
              <w:t>Targeted support from the National Tutoring Partnership</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CE453EB" w:rsidR="00E66558" w:rsidRPr="00A24E71" w:rsidRDefault="00A24E71" w:rsidP="00A24E71">
            <w:pPr>
              <w:pStyle w:val="TableRowCentered"/>
              <w:jc w:val="left"/>
              <w:rPr>
                <w:sz w:val="22"/>
                <w:szCs w:val="22"/>
              </w:rPr>
            </w:pPr>
            <w:r w:rsidRPr="00A24E71">
              <w:rPr>
                <w:sz w:val="22"/>
                <w:szCs w:val="22"/>
              </w:rPr>
              <w:t>EEF research shows that t</w:t>
            </w:r>
            <w:r w:rsidR="00897700" w:rsidRPr="00A24E71">
              <w:rPr>
                <w:sz w:val="22"/>
                <w:szCs w:val="22"/>
              </w:rPr>
              <w:t>uition targeted at specific needs and knowledge gaps can be an effective method to support low attaining pupils or tho</w:t>
            </w:r>
            <w:r w:rsidR="005F40DF">
              <w:rPr>
                <w:sz w:val="22"/>
                <w:szCs w:val="22"/>
              </w:rPr>
              <w:t>se falling behind and can lead to an additional 4 or 5 months of progress in the subject targeted.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06A3C1" w:rsidR="00E66558" w:rsidRDefault="00A24E71">
            <w:pPr>
              <w:pStyle w:val="TableRowCentered"/>
              <w:jc w:val="left"/>
              <w:rPr>
                <w:sz w:val="22"/>
              </w:rPr>
            </w:pPr>
            <w:r>
              <w:rPr>
                <w:sz w:val="22"/>
              </w:rPr>
              <w:t>1,2,3,5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D7C406F" w:rsidR="00E66558" w:rsidRDefault="009D71E8" w:rsidP="005F40DF">
      <w:pPr>
        <w:tabs>
          <w:tab w:val="left" w:pos="6885"/>
        </w:tabs>
        <w:spacing w:before="240" w:after="120"/>
      </w:pPr>
      <w:r>
        <w:t>Budgeted cost: £</w:t>
      </w:r>
      <w:r w:rsidR="00584D8F">
        <w:t>4,8</w:t>
      </w:r>
      <w:r w:rsidR="00646B1C">
        <w:t>00</w:t>
      </w:r>
      <w:r w:rsidR="005F40DF">
        <w:rPr>
          <w:i/>
          <w:iCs/>
        </w:rPr>
        <w:tab/>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37"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32AD19B" w:rsidR="00E66558" w:rsidRDefault="00A24E71">
            <w:pPr>
              <w:pStyle w:val="TableRow"/>
            </w:pPr>
            <w:r>
              <w:t>Participation in LCC attendance project 2022-23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72E81" w14:textId="77777777" w:rsidR="00E66558" w:rsidRDefault="00A24E71">
            <w:pPr>
              <w:pStyle w:val="TableRowCentered"/>
              <w:jc w:val="left"/>
              <w:rPr>
                <w:sz w:val="22"/>
              </w:rPr>
            </w:pPr>
            <w:r>
              <w:rPr>
                <w:sz w:val="22"/>
              </w:rPr>
              <w:t>In our school, we have found that the children with the best attendance tend to achieve more highly than those with lower attendance. Attitude to learning is more positive, confidence is higher and they are more engaged with learning.</w:t>
            </w:r>
          </w:p>
          <w:p w14:paraId="2B034F3A" w14:textId="3269B97F" w:rsidR="005F40DF" w:rsidRDefault="005F40DF">
            <w:pPr>
              <w:pStyle w:val="TableRowCentered"/>
              <w:jc w:val="left"/>
              <w:rPr>
                <w:sz w:val="22"/>
              </w:rPr>
            </w:pPr>
            <w:r>
              <w:rPr>
                <w:sz w:val="22"/>
              </w:rPr>
              <w:t>Lateness impacts on pupil well-being, as they are not getting the same positive start to the day as their peers.</w:t>
            </w:r>
          </w:p>
          <w:p w14:paraId="2A7D5539" w14:textId="2100B85A" w:rsidR="005F40DF" w:rsidRDefault="005F40DF" w:rsidP="005F40DF">
            <w:pPr>
              <w:pStyle w:val="TableRowCentered"/>
              <w:jc w:val="left"/>
              <w:rPr>
                <w:sz w:val="22"/>
              </w:rPr>
            </w:pPr>
            <w:r>
              <w:rPr>
                <w:sz w:val="22"/>
              </w:rPr>
              <w:t>If pupils are in school every day, they will be able to access all the targeted learning interventions planned for them and get maximum benefit from these.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499314D" w:rsidR="00E66558" w:rsidRDefault="00A24E71">
            <w:pPr>
              <w:pStyle w:val="TableRowCentered"/>
              <w:jc w:val="left"/>
              <w:rPr>
                <w:sz w:val="22"/>
              </w:rPr>
            </w:pPr>
            <w:r>
              <w:rPr>
                <w:sz w:val="22"/>
              </w:rPr>
              <w:t>1,2,3,4,5</w:t>
            </w:r>
          </w:p>
        </w:tc>
      </w:tr>
      <w:tr w:rsidR="00E66558" w14:paraId="2A7D553F"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3ED5C" w14:textId="1A8D36FE" w:rsidR="00E66558" w:rsidRDefault="00A24E71" w:rsidP="00A24E71">
            <w:pPr>
              <w:pStyle w:val="TableRow"/>
              <w:rPr>
                <w:sz w:val="22"/>
              </w:rPr>
            </w:pPr>
            <w:r>
              <w:rPr>
                <w:sz w:val="22"/>
              </w:rPr>
              <w:t>Focus on improving behaviour through consistency of approach within classrooms and across school – all children.</w:t>
            </w:r>
          </w:p>
          <w:p w14:paraId="2A7D553C" w14:textId="3E659EAA" w:rsidR="00A24E71" w:rsidRPr="00A24E71" w:rsidRDefault="00A24E71" w:rsidP="00A24E71">
            <w:pPr>
              <w:pStyle w:val="TableRow"/>
              <w:rPr>
                <w:sz w:val="22"/>
              </w:rPr>
            </w:pPr>
            <w:r>
              <w:rPr>
                <w:sz w:val="22"/>
              </w:rPr>
              <w:t>Individualised behaviour programmes for some children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B933D66" w:rsidR="00E66558" w:rsidRDefault="00A24E71">
            <w:pPr>
              <w:pStyle w:val="TableRowCentered"/>
              <w:jc w:val="left"/>
              <w:rPr>
                <w:sz w:val="22"/>
              </w:rPr>
            </w:pPr>
            <w:r>
              <w:rPr>
                <w:sz w:val="22"/>
              </w:rPr>
              <w:t>Universal and individualised behaviour support programmes have been shown to enable children to make an additional 4 months progress across the year. (EEF funded research)</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6835DC7" w:rsidR="00E66558" w:rsidRDefault="00A24E71">
            <w:pPr>
              <w:pStyle w:val="TableRowCentered"/>
              <w:jc w:val="left"/>
              <w:rPr>
                <w:sz w:val="22"/>
              </w:rPr>
            </w:pPr>
            <w:r>
              <w:rPr>
                <w:sz w:val="22"/>
              </w:rPr>
              <w:t>1,2,3,5</w:t>
            </w:r>
          </w:p>
        </w:tc>
      </w:tr>
      <w:tr w:rsidR="00A24E71" w14:paraId="65355F53"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C5F8" w14:textId="03093C6F" w:rsidR="00A24E71" w:rsidRDefault="006846BD" w:rsidP="00A24E71">
            <w:pPr>
              <w:pStyle w:val="TableRow"/>
              <w:rPr>
                <w:sz w:val="22"/>
              </w:rPr>
            </w:pPr>
            <w:r>
              <w:rPr>
                <w:sz w:val="22"/>
              </w:rPr>
              <w:t>Play therapy (targeted 1:1 work on managing emotions, dealing with difficult situations, understanding relationships)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79AA" w14:textId="1D1A81A9" w:rsidR="00A24E71" w:rsidRDefault="006846BD" w:rsidP="006846BD">
            <w:pPr>
              <w:pStyle w:val="TableRowCentered"/>
              <w:jc w:val="left"/>
              <w:rPr>
                <w:sz w:val="22"/>
              </w:rPr>
            </w:pPr>
            <w:r>
              <w:rPr>
                <w:sz w:val="22"/>
              </w:rPr>
              <w:t>Research (EEF) shows that Social and Emotional Learning, ability to self-regulate and developing resilience can all contribute towards additional gains in learning of up to 4 additional months during a year.</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1591" w14:textId="1CECE898" w:rsidR="00A24E71" w:rsidRDefault="006846BD">
            <w:pPr>
              <w:pStyle w:val="TableRowCentered"/>
              <w:jc w:val="left"/>
              <w:rPr>
                <w:sz w:val="22"/>
              </w:rPr>
            </w:pPr>
            <w:r>
              <w:rPr>
                <w:sz w:val="22"/>
              </w:rPr>
              <w:t>1,2,5</w:t>
            </w:r>
          </w:p>
        </w:tc>
      </w:tr>
      <w:tr w:rsidR="00646B1C" w14:paraId="5CCFF81B"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EDEF" w14:textId="316E0EBC" w:rsidR="00646B1C" w:rsidRDefault="00646B1C" w:rsidP="00A24E71">
            <w:pPr>
              <w:pStyle w:val="TableRow"/>
              <w:rPr>
                <w:sz w:val="22"/>
              </w:rPr>
            </w:pPr>
            <w:r>
              <w:rPr>
                <w:sz w:val="22"/>
              </w:rPr>
              <w:t xml:space="preserve">ELSA trained teaching assistant to work with children and provide </w:t>
            </w:r>
            <w:r>
              <w:rPr>
                <w:sz w:val="22"/>
              </w:rPr>
              <w:lastRenderedPageBreak/>
              <w:t>targeted support according to needs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719B" w14:textId="77777777" w:rsidR="00646B1C" w:rsidRDefault="00646B1C" w:rsidP="00646B1C">
            <w:pPr>
              <w:pStyle w:val="TableRowCentered"/>
              <w:ind w:left="0"/>
              <w:jc w:val="left"/>
              <w:rPr>
                <w:sz w:val="22"/>
              </w:rPr>
            </w:pPr>
            <w:r>
              <w:rPr>
                <w:sz w:val="22"/>
              </w:rPr>
              <w:lastRenderedPageBreak/>
              <w:t xml:space="preserve">Research (EEF) shows that good emotional literacy can improve academic attainment by up to 4 months.  </w:t>
            </w:r>
          </w:p>
          <w:p w14:paraId="6333AF3E" w14:textId="3333BEB0" w:rsidR="00646B1C" w:rsidRDefault="00646B1C" w:rsidP="00646B1C">
            <w:pPr>
              <w:pStyle w:val="TableRowCentered"/>
              <w:ind w:left="0"/>
              <w:jc w:val="left"/>
              <w:rPr>
                <w:sz w:val="22"/>
              </w:rPr>
            </w:pPr>
            <w:r>
              <w:rPr>
                <w:sz w:val="22"/>
              </w:rPr>
              <w:lastRenderedPageBreak/>
              <w:t>Building positive attachments to an adult in school is good for well-being. Working with families can also build positive relationships and lead to improved attendance.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D5AC" w14:textId="632747CB" w:rsidR="00646B1C" w:rsidRDefault="00646B1C">
            <w:pPr>
              <w:pStyle w:val="TableRowCentered"/>
              <w:jc w:val="left"/>
              <w:rPr>
                <w:sz w:val="22"/>
              </w:rPr>
            </w:pPr>
            <w:r>
              <w:rPr>
                <w:sz w:val="22"/>
              </w:rPr>
              <w:lastRenderedPageBreak/>
              <w:t>4,5</w:t>
            </w:r>
          </w:p>
        </w:tc>
      </w:tr>
      <w:tr w:rsidR="00A24E71" w14:paraId="594707B3" w14:textId="77777777" w:rsidTr="00C736B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CFD3D" w14:textId="25C30CCA" w:rsidR="00A24E71" w:rsidRDefault="00A24E71" w:rsidP="00A24E71">
            <w:pPr>
              <w:pStyle w:val="TableRow"/>
              <w:rPr>
                <w:sz w:val="22"/>
              </w:rPr>
            </w:pPr>
            <w:r>
              <w:rPr>
                <w:sz w:val="22"/>
              </w:rPr>
              <w:t>Enrichment activities</w:t>
            </w:r>
            <w:r w:rsidR="006846BD">
              <w:rPr>
                <w:sz w:val="22"/>
              </w:rPr>
              <w:t xml:space="preserve"> including extra-curricular activities, residential visit, first-hand experiences (trips and visitors) to support learning.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B8EA" w14:textId="77777777" w:rsidR="00A24E71" w:rsidRDefault="00C736B5" w:rsidP="00C736B5">
            <w:pPr>
              <w:pStyle w:val="TableRowCentered"/>
              <w:jc w:val="left"/>
              <w:rPr>
                <w:rFonts w:cs="Arial"/>
                <w:color w:val="auto"/>
                <w:sz w:val="22"/>
                <w:szCs w:val="22"/>
                <w:shd w:val="clear" w:color="auto" w:fill="FFFFFF"/>
              </w:rPr>
            </w:pPr>
            <w:r>
              <w:rPr>
                <w:sz w:val="22"/>
              </w:rPr>
              <w:t xml:space="preserve">EEF research shows that </w:t>
            </w:r>
            <w:r w:rsidRPr="00C736B5">
              <w:rPr>
                <w:rFonts w:cs="Arial"/>
                <w:color w:val="auto"/>
                <w:sz w:val="22"/>
                <w:szCs w:val="22"/>
                <w:shd w:val="clear" w:color="auto" w:fill="FFFFFF"/>
              </w:rPr>
              <w:t>physical activity has important benefits in terms of health, well</w:t>
            </w:r>
            <w:r>
              <w:rPr>
                <w:rFonts w:cs="Arial"/>
                <w:color w:val="auto"/>
                <w:sz w:val="22"/>
                <w:szCs w:val="22"/>
                <w:shd w:val="clear" w:color="auto" w:fill="FFFFFF"/>
              </w:rPr>
              <w:t>being and physical development and can improve</w:t>
            </w:r>
            <w:r w:rsidRPr="00C736B5">
              <w:rPr>
                <w:rFonts w:cs="Arial"/>
                <w:color w:val="auto"/>
                <w:sz w:val="22"/>
                <w:szCs w:val="22"/>
                <w:shd w:val="clear" w:color="auto" w:fill="FFFFFF"/>
              </w:rPr>
              <w:t xml:space="preserve"> core academic attainment particularly literacy and mathematics</w:t>
            </w:r>
            <w:r>
              <w:rPr>
                <w:rFonts w:cs="Arial"/>
                <w:color w:val="auto"/>
                <w:sz w:val="22"/>
                <w:szCs w:val="22"/>
                <w:shd w:val="clear" w:color="auto" w:fill="FFFFFF"/>
              </w:rPr>
              <w:t xml:space="preserve"> of up to one additional month.  It has also been found to have a positive impact on attendance.  All our extra-curricular activities are free of charge to ensure this is not a barrier to attendance for any child.</w:t>
            </w:r>
          </w:p>
          <w:p w14:paraId="44FC0545" w14:textId="7ED9D947" w:rsidR="00C736B5" w:rsidRDefault="00C736B5" w:rsidP="00C736B5">
            <w:pPr>
              <w:pStyle w:val="TableRowCentered"/>
              <w:jc w:val="left"/>
              <w:rPr>
                <w:sz w:val="22"/>
              </w:rPr>
            </w:pPr>
            <w:r>
              <w:rPr>
                <w:sz w:val="22"/>
              </w:rPr>
              <w:t>The Y5/6 residential trip is heavily subsidised for disadvantaged children for this same reason.  At Catforth, we firmly believe that positive relationships between teachers and pupils and between pupils and their peers are key to ensuring good behaviour and attainment. The residential trip helps to build these relationships.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086D" w14:textId="067163DF" w:rsidR="00A24E71" w:rsidRDefault="00C736B5">
            <w:pPr>
              <w:pStyle w:val="TableRowCentered"/>
              <w:jc w:val="left"/>
              <w:rPr>
                <w:sz w:val="22"/>
              </w:rPr>
            </w:pPr>
            <w:r>
              <w:rPr>
                <w:sz w:val="22"/>
              </w:rPr>
              <w:t>1,2,4,5</w:t>
            </w:r>
          </w:p>
        </w:tc>
      </w:tr>
    </w:tbl>
    <w:p w14:paraId="2A7D5540" w14:textId="471DCF80" w:rsidR="00E66558" w:rsidRPr="002261E9" w:rsidRDefault="00E66558">
      <w:pPr>
        <w:spacing w:before="240" w:after="0"/>
        <w:rPr>
          <w:b/>
          <w:bCs/>
          <w:color w:val="104F75"/>
          <w:sz w:val="10"/>
          <w:szCs w:val="10"/>
        </w:rPr>
      </w:pPr>
    </w:p>
    <w:p w14:paraId="2A7D5541" w14:textId="3343955C" w:rsidR="00E66558" w:rsidRDefault="002261E9" w:rsidP="00120AB1">
      <w:r>
        <w:rPr>
          <w:b/>
          <w:bCs/>
          <w:color w:val="104F75"/>
          <w:sz w:val="28"/>
          <w:szCs w:val="28"/>
        </w:rPr>
        <w:t>Total budgeted cost: £26,</w:t>
      </w:r>
      <w:r w:rsidR="00517166">
        <w:rPr>
          <w:b/>
          <w:bCs/>
          <w:color w:val="104F75"/>
          <w:sz w:val="28"/>
          <w:szCs w:val="28"/>
        </w:rPr>
        <w:t>2</w:t>
      </w:r>
      <w:r>
        <w:rPr>
          <w:b/>
          <w:bCs/>
          <w:color w:val="104F75"/>
          <w:sz w:val="28"/>
          <w:szCs w:val="28"/>
        </w:rPr>
        <w:t>4</w:t>
      </w:r>
      <w:r w:rsidR="00517166">
        <w:rPr>
          <w:b/>
          <w:bCs/>
          <w:color w:val="104F75"/>
          <w:sz w:val="28"/>
          <w:szCs w:val="28"/>
        </w:rPr>
        <w:t>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C84E64C" w:rsidR="00E66558" w:rsidRDefault="009D71E8">
      <w:r>
        <w:t xml:space="preserve">This details the impact that our pupil premium activity had on pupils in the 2020 to 2021 academic year. </w:t>
      </w:r>
      <w:r w:rsidR="00AA2A92">
        <w:t xml:space="preserve">Impact has been measured through regular teacher assessment and subsequent pupil progress meetings with class teachers.   </w:t>
      </w:r>
      <w:bookmarkStart w:id="17" w:name="_GoBack"/>
      <w:bookmarkEnd w:id="17"/>
    </w:p>
    <w:p w14:paraId="028F53EC" w14:textId="5ECED68E" w:rsidR="00A36914" w:rsidRPr="00A36914" w:rsidRDefault="00A36914">
      <w:pPr>
        <w:rPr>
          <w:b/>
        </w:rPr>
      </w:pPr>
      <w:r w:rsidRPr="00A36914">
        <w:rPr>
          <w:b/>
        </w:rPr>
        <w:t>Number of children and amount of funding for 2020-21</w:t>
      </w:r>
    </w:p>
    <w:p w14:paraId="4F933E6E" w14:textId="1D88EBCA" w:rsidR="00A36914" w:rsidRDefault="00A36914" w:rsidP="00A36914">
      <w:pPr>
        <w:spacing w:after="60"/>
      </w:pPr>
      <w:r>
        <w:t>Pupil Premium Ever 6 FSM             16children @ £1345 per child            £21,520</w:t>
      </w:r>
    </w:p>
    <w:p w14:paraId="45D87EE5" w14:textId="08E24291" w:rsidR="00A36914" w:rsidRDefault="00A36914" w:rsidP="00A36914">
      <w:pPr>
        <w:spacing w:after="60"/>
      </w:pPr>
      <w:r>
        <w:t>Previously Looked After                    2 children @ £2345 per child             £4,690</w:t>
      </w:r>
    </w:p>
    <w:p w14:paraId="6B206A8C" w14:textId="10B8C721" w:rsidR="00A36914" w:rsidRPr="00A36914" w:rsidRDefault="00A36914" w:rsidP="00A36914">
      <w:pPr>
        <w:spacing w:after="60"/>
        <w:rPr>
          <w:b/>
          <w:u w:val="single"/>
        </w:rPr>
      </w:pPr>
      <w:r>
        <w:t xml:space="preserve">                                                                        </w:t>
      </w:r>
      <w:r w:rsidRPr="00A36914">
        <w:rPr>
          <w:b/>
          <w:u w:val="single"/>
        </w:rPr>
        <w:t>Total funding                    £26,210</w:t>
      </w:r>
    </w:p>
    <w:p w14:paraId="16B997BD" w14:textId="77777777" w:rsidR="00A36914" w:rsidRDefault="00A36914" w:rsidP="00A36914">
      <w:pPr>
        <w:spacing w:after="0"/>
        <w:rPr>
          <w:b/>
        </w:rPr>
      </w:pPr>
    </w:p>
    <w:p w14:paraId="231279C3" w14:textId="16D5E7C3" w:rsidR="00252912" w:rsidRPr="00252912" w:rsidRDefault="00252912" w:rsidP="00A36914">
      <w:pPr>
        <w:spacing w:after="120"/>
        <w:rPr>
          <w:b/>
        </w:rPr>
      </w:pPr>
      <w:r w:rsidRPr="00252912">
        <w:rPr>
          <w:b/>
        </w:rPr>
        <w:t>Progress</w:t>
      </w:r>
    </w:p>
    <w:tbl>
      <w:tblPr>
        <w:tblStyle w:val="TableGrid"/>
        <w:tblW w:w="0" w:type="auto"/>
        <w:tblInd w:w="1776" w:type="dxa"/>
        <w:tblLook w:val="04A0" w:firstRow="1" w:lastRow="0" w:firstColumn="1" w:lastColumn="0" w:noHBand="0" w:noVBand="1"/>
      </w:tblPr>
      <w:tblGrid>
        <w:gridCol w:w="962"/>
        <w:gridCol w:w="857"/>
        <w:gridCol w:w="845"/>
        <w:gridCol w:w="746"/>
        <w:gridCol w:w="962"/>
        <w:gridCol w:w="859"/>
        <w:gridCol w:w="844"/>
      </w:tblGrid>
      <w:tr w:rsidR="00A36914" w14:paraId="23B0F63F" w14:textId="2DFA3FE5" w:rsidTr="00A36914">
        <w:tc>
          <w:tcPr>
            <w:tcW w:w="2664" w:type="dxa"/>
            <w:gridSpan w:val="3"/>
            <w:shd w:val="clear" w:color="auto" w:fill="DBE5F1" w:themeFill="accent1" w:themeFillTint="33"/>
          </w:tcPr>
          <w:p w14:paraId="3E4E82C0" w14:textId="4E4FF8EF" w:rsidR="00A36914" w:rsidRPr="00252912" w:rsidRDefault="00A36914" w:rsidP="00252912">
            <w:pPr>
              <w:jc w:val="center"/>
              <w:rPr>
                <w:b/>
                <w:sz w:val="20"/>
                <w:szCs w:val="20"/>
              </w:rPr>
            </w:pPr>
            <w:r w:rsidRPr="00252912">
              <w:rPr>
                <w:b/>
                <w:sz w:val="20"/>
                <w:szCs w:val="20"/>
              </w:rPr>
              <w:t>Below Personal Target</w:t>
            </w:r>
          </w:p>
        </w:tc>
        <w:tc>
          <w:tcPr>
            <w:tcW w:w="746" w:type="dxa"/>
            <w:vMerge w:val="restart"/>
          </w:tcPr>
          <w:p w14:paraId="64FAD877" w14:textId="77777777" w:rsidR="00A36914" w:rsidRPr="00252912" w:rsidRDefault="00A36914" w:rsidP="00252912">
            <w:pPr>
              <w:jc w:val="center"/>
              <w:rPr>
                <w:b/>
                <w:sz w:val="20"/>
                <w:szCs w:val="20"/>
              </w:rPr>
            </w:pPr>
          </w:p>
        </w:tc>
        <w:tc>
          <w:tcPr>
            <w:tcW w:w="2665" w:type="dxa"/>
            <w:gridSpan w:val="3"/>
            <w:shd w:val="clear" w:color="auto" w:fill="DBE5F1" w:themeFill="accent1" w:themeFillTint="33"/>
          </w:tcPr>
          <w:p w14:paraId="030DC083" w14:textId="6D0DC0A3" w:rsidR="00A36914" w:rsidRPr="00252912" w:rsidRDefault="00A36914" w:rsidP="00252912">
            <w:pPr>
              <w:jc w:val="center"/>
              <w:rPr>
                <w:b/>
                <w:sz w:val="20"/>
                <w:szCs w:val="20"/>
              </w:rPr>
            </w:pPr>
            <w:r w:rsidRPr="00252912">
              <w:rPr>
                <w:b/>
                <w:sz w:val="20"/>
                <w:szCs w:val="20"/>
              </w:rPr>
              <w:t>Meeting Personal Target</w:t>
            </w:r>
          </w:p>
        </w:tc>
      </w:tr>
      <w:tr w:rsidR="00A36914" w14:paraId="278F048C" w14:textId="27964D11" w:rsidTr="00A36914">
        <w:tc>
          <w:tcPr>
            <w:tcW w:w="962" w:type="dxa"/>
            <w:shd w:val="clear" w:color="auto" w:fill="DBE5F1" w:themeFill="accent1" w:themeFillTint="33"/>
          </w:tcPr>
          <w:p w14:paraId="56E389DB" w14:textId="384194BA" w:rsidR="00A36914" w:rsidRPr="00252912" w:rsidRDefault="00A36914" w:rsidP="00252912">
            <w:pPr>
              <w:jc w:val="center"/>
              <w:rPr>
                <w:sz w:val="20"/>
                <w:szCs w:val="20"/>
              </w:rPr>
            </w:pPr>
            <w:r w:rsidRPr="00252912">
              <w:rPr>
                <w:sz w:val="20"/>
                <w:szCs w:val="20"/>
              </w:rPr>
              <w:t>Reading</w:t>
            </w:r>
          </w:p>
        </w:tc>
        <w:tc>
          <w:tcPr>
            <w:tcW w:w="857" w:type="dxa"/>
            <w:shd w:val="clear" w:color="auto" w:fill="DBE5F1" w:themeFill="accent1" w:themeFillTint="33"/>
          </w:tcPr>
          <w:p w14:paraId="722C8586" w14:textId="46F38281" w:rsidR="00A36914" w:rsidRPr="00252912" w:rsidRDefault="00A36914" w:rsidP="00252912">
            <w:pPr>
              <w:jc w:val="center"/>
              <w:rPr>
                <w:sz w:val="20"/>
                <w:szCs w:val="20"/>
              </w:rPr>
            </w:pPr>
            <w:r w:rsidRPr="00252912">
              <w:rPr>
                <w:sz w:val="20"/>
                <w:szCs w:val="20"/>
              </w:rPr>
              <w:t>Writing</w:t>
            </w:r>
          </w:p>
        </w:tc>
        <w:tc>
          <w:tcPr>
            <w:tcW w:w="845" w:type="dxa"/>
            <w:shd w:val="clear" w:color="auto" w:fill="DBE5F1" w:themeFill="accent1" w:themeFillTint="33"/>
          </w:tcPr>
          <w:p w14:paraId="310B6642" w14:textId="06E26E07" w:rsidR="00A36914" w:rsidRPr="00252912" w:rsidRDefault="00A36914" w:rsidP="00252912">
            <w:pPr>
              <w:jc w:val="center"/>
              <w:rPr>
                <w:sz w:val="20"/>
                <w:szCs w:val="20"/>
              </w:rPr>
            </w:pPr>
            <w:r w:rsidRPr="00252912">
              <w:rPr>
                <w:sz w:val="20"/>
                <w:szCs w:val="20"/>
              </w:rPr>
              <w:t>Maths</w:t>
            </w:r>
          </w:p>
        </w:tc>
        <w:tc>
          <w:tcPr>
            <w:tcW w:w="746" w:type="dxa"/>
            <w:vMerge/>
          </w:tcPr>
          <w:p w14:paraId="1D5EC021" w14:textId="77777777" w:rsidR="00A36914" w:rsidRPr="00252912" w:rsidRDefault="00A36914" w:rsidP="00252912">
            <w:pPr>
              <w:jc w:val="center"/>
              <w:rPr>
                <w:sz w:val="20"/>
                <w:szCs w:val="20"/>
              </w:rPr>
            </w:pPr>
          </w:p>
        </w:tc>
        <w:tc>
          <w:tcPr>
            <w:tcW w:w="962" w:type="dxa"/>
            <w:shd w:val="clear" w:color="auto" w:fill="DBE5F1" w:themeFill="accent1" w:themeFillTint="33"/>
          </w:tcPr>
          <w:p w14:paraId="56FD76C5" w14:textId="730303A3" w:rsidR="00A36914" w:rsidRPr="00252912" w:rsidRDefault="00A36914" w:rsidP="00252912">
            <w:pPr>
              <w:jc w:val="center"/>
              <w:rPr>
                <w:sz w:val="20"/>
                <w:szCs w:val="20"/>
              </w:rPr>
            </w:pPr>
            <w:r>
              <w:rPr>
                <w:sz w:val="20"/>
                <w:szCs w:val="20"/>
              </w:rPr>
              <w:t>Reading</w:t>
            </w:r>
          </w:p>
        </w:tc>
        <w:tc>
          <w:tcPr>
            <w:tcW w:w="859" w:type="dxa"/>
            <w:shd w:val="clear" w:color="auto" w:fill="DBE5F1" w:themeFill="accent1" w:themeFillTint="33"/>
          </w:tcPr>
          <w:p w14:paraId="54C25A07" w14:textId="55AF7E7F" w:rsidR="00A36914" w:rsidRPr="00252912" w:rsidRDefault="00A36914" w:rsidP="00252912">
            <w:pPr>
              <w:jc w:val="center"/>
              <w:rPr>
                <w:sz w:val="20"/>
                <w:szCs w:val="20"/>
              </w:rPr>
            </w:pPr>
            <w:r>
              <w:rPr>
                <w:sz w:val="20"/>
                <w:szCs w:val="20"/>
              </w:rPr>
              <w:t>Writing</w:t>
            </w:r>
          </w:p>
        </w:tc>
        <w:tc>
          <w:tcPr>
            <w:tcW w:w="844" w:type="dxa"/>
            <w:shd w:val="clear" w:color="auto" w:fill="DBE5F1" w:themeFill="accent1" w:themeFillTint="33"/>
          </w:tcPr>
          <w:p w14:paraId="3F049F0D" w14:textId="4894B8C2" w:rsidR="00A36914" w:rsidRPr="00252912" w:rsidRDefault="00A36914" w:rsidP="00252912">
            <w:pPr>
              <w:jc w:val="center"/>
              <w:rPr>
                <w:sz w:val="20"/>
                <w:szCs w:val="20"/>
              </w:rPr>
            </w:pPr>
            <w:r>
              <w:rPr>
                <w:sz w:val="20"/>
                <w:szCs w:val="20"/>
              </w:rPr>
              <w:t>Maths</w:t>
            </w:r>
          </w:p>
        </w:tc>
      </w:tr>
      <w:tr w:rsidR="00A36914" w14:paraId="298FD0BE" w14:textId="09A1E809" w:rsidTr="00A36914">
        <w:tc>
          <w:tcPr>
            <w:tcW w:w="962" w:type="dxa"/>
          </w:tcPr>
          <w:p w14:paraId="34AE4268" w14:textId="5F17F3A0" w:rsidR="00A36914" w:rsidRDefault="00A36914" w:rsidP="00A36914">
            <w:pPr>
              <w:spacing w:before="120" w:after="120"/>
              <w:jc w:val="center"/>
            </w:pPr>
            <w:r>
              <w:t>6</w:t>
            </w:r>
          </w:p>
        </w:tc>
        <w:tc>
          <w:tcPr>
            <w:tcW w:w="857" w:type="dxa"/>
          </w:tcPr>
          <w:p w14:paraId="1C365791" w14:textId="13D16AA3" w:rsidR="00A36914" w:rsidRDefault="00A36914" w:rsidP="00A36914">
            <w:pPr>
              <w:spacing w:before="120" w:after="120"/>
              <w:jc w:val="center"/>
            </w:pPr>
            <w:r>
              <w:t>6</w:t>
            </w:r>
          </w:p>
        </w:tc>
        <w:tc>
          <w:tcPr>
            <w:tcW w:w="845" w:type="dxa"/>
          </w:tcPr>
          <w:p w14:paraId="6BCA0999" w14:textId="256EB998" w:rsidR="00A36914" w:rsidRDefault="00A36914" w:rsidP="00A36914">
            <w:pPr>
              <w:spacing w:before="120" w:after="120"/>
              <w:jc w:val="center"/>
            </w:pPr>
            <w:r>
              <w:t>5</w:t>
            </w:r>
          </w:p>
        </w:tc>
        <w:tc>
          <w:tcPr>
            <w:tcW w:w="746" w:type="dxa"/>
            <w:vMerge/>
          </w:tcPr>
          <w:p w14:paraId="40DF2E10" w14:textId="77777777" w:rsidR="00A36914" w:rsidRDefault="00A36914" w:rsidP="00A36914">
            <w:pPr>
              <w:spacing w:before="120" w:after="120"/>
              <w:jc w:val="center"/>
            </w:pPr>
          </w:p>
        </w:tc>
        <w:tc>
          <w:tcPr>
            <w:tcW w:w="962" w:type="dxa"/>
          </w:tcPr>
          <w:p w14:paraId="4CF702D7" w14:textId="15A266CB" w:rsidR="00A36914" w:rsidRDefault="00A36914" w:rsidP="00A36914">
            <w:pPr>
              <w:spacing w:before="120" w:after="120"/>
              <w:jc w:val="center"/>
            </w:pPr>
            <w:r>
              <w:t>12</w:t>
            </w:r>
          </w:p>
        </w:tc>
        <w:tc>
          <w:tcPr>
            <w:tcW w:w="859" w:type="dxa"/>
          </w:tcPr>
          <w:p w14:paraId="3B34C294" w14:textId="3EF1E55B" w:rsidR="00A36914" w:rsidRDefault="00A36914" w:rsidP="00A36914">
            <w:pPr>
              <w:spacing w:before="120" w:after="120"/>
              <w:jc w:val="center"/>
            </w:pPr>
            <w:r>
              <w:t>12</w:t>
            </w:r>
          </w:p>
        </w:tc>
        <w:tc>
          <w:tcPr>
            <w:tcW w:w="844" w:type="dxa"/>
          </w:tcPr>
          <w:p w14:paraId="721984C0" w14:textId="3EC9C703" w:rsidR="00A36914" w:rsidRDefault="00A36914" w:rsidP="00A36914">
            <w:pPr>
              <w:spacing w:before="120" w:after="120"/>
              <w:jc w:val="center"/>
            </w:pPr>
            <w:r>
              <w:t>13</w:t>
            </w:r>
          </w:p>
        </w:tc>
      </w:tr>
    </w:tbl>
    <w:p w14:paraId="4CC1559C" w14:textId="77777777" w:rsidR="00252912" w:rsidRDefault="00252912"/>
    <w:p w14:paraId="2728E6FA" w14:textId="6731D511" w:rsidR="00252912" w:rsidRPr="00252912" w:rsidRDefault="00252912" w:rsidP="00A36914">
      <w:pPr>
        <w:spacing w:after="120"/>
        <w:rPr>
          <w:b/>
        </w:rPr>
      </w:pPr>
      <w:r w:rsidRPr="00252912">
        <w:rPr>
          <w:b/>
        </w:rPr>
        <w:t>Attainment</w:t>
      </w:r>
    </w:p>
    <w:tbl>
      <w:tblPr>
        <w:tblStyle w:val="TableGrid"/>
        <w:tblW w:w="0" w:type="auto"/>
        <w:tblLook w:val="04A0" w:firstRow="1" w:lastRow="0" w:firstColumn="1" w:lastColumn="0" w:noHBand="0" w:noVBand="1"/>
      </w:tblPr>
      <w:tblGrid>
        <w:gridCol w:w="962"/>
        <w:gridCol w:w="857"/>
        <w:gridCol w:w="845"/>
        <w:gridCol w:w="746"/>
        <w:gridCol w:w="962"/>
        <w:gridCol w:w="859"/>
        <w:gridCol w:w="844"/>
        <w:gridCol w:w="746"/>
        <w:gridCol w:w="962"/>
        <w:gridCol w:w="858"/>
        <w:gridCol w:w="845"/>
      </w:tblGrid>
      <w:tr w:rsidR="00252912" w14:paraId="5252D8A9" w14:textId="77777777" w:rsidTr="00535319">
        <w:tc>
          <w:tcPr>
            <w:tcW w:w="2664" w:type="dxa"/>
            <w:gridSpan w:val="3"/>
            <w:shd w:val="clear" w:color="auto" w:fill="DBE5F1" w:themeFill="accent1" w:themeFillTint="33"/>
          </w:tcPr>
          <w:p w14:paraId="27B8EAD6" w14:textId="7741328F" w:rsidR="00252912" w:rsidRPr="00252912" w:rsidRDefault="00252912" w:rsidP="00252912">
            <w:pPr>
              <w:jc w:val="center"/>
              <w:rPr>
                <w:b/>
                <w:sz w:val="20"/>
                <w:szCs w:val="20"/>
              </w:rPr>
            </w:pPr>
            <w:r w:rsidRPr="00252912">
              <w:rPr>
                <w:b/>
                <w:sz w:val="20"/>
                <w:szCs w:val="20"/>
              </w:rPr>
              <w:t xml:space="preserve">Below </w:t>
            </w:r>
            <w:r>
              <w:rPr>
                <w:b/>
                <w:sz w:val="20"/>
                <w:szCs w:val="20"/>
              </w:rPr>
              <w:t>Expectations</w:t>
            </w:r>
          </w:p>
        </w:tc>
        <w:tc>
          <w:tcPr>
            <w:tcW w:w="746" w:type="dxa"/>
            <w:vMerge w:val="restart"/>
          </w:tcPr>
          <w:p w14:paraId="7C15CCFC" w14:textId="77777777" w:rsidR="00252912" w:rsidRPr="00252912" w:rsidRDefault="00252912" w:rsidP="00535319">
            <w:pPr>
              <w:jc w:val="center"/>
              <w:rPr>
                <w:b/>
                <w:sz w:val="20"/>
                <w:szCs w:val="20"/>
              </w:rPr>
            </w:pPr>
          </w:p>
        </w:tc>
        <w:tc>
          <w:tcPr>
            <w:tcW w:w="2665" w:type="dxa"/>
            <w:gridSpan w:val="3"/>
            <w:shd w:val="clear" w:color="auto" w:fill="DBE5F1" w:themeFill="accent1" w:themeFillTint="33"/>
          </w:tcPr>
          <w:p w14:paraId="6B65E28F" w14:textId="21D84663" w:rsidR="00252912" w:rsidRPr="00252912" w:rsidRDefault="00252912" w:rsidP="00252912">
            <w:pPr>
              <w:jc w:val="center"/>
              <w:rPr>
                <w:b/>
                <w:sz w:val="20"/>
                <w:szCs w:val="20"/>
              </w:rPr>
            </w:pPr>
            <w:r w:rsidRPr="00252912">
              <w:rPr>
                <w:b/>
                <w:sz w:val="20"/>
                <w:szCs w:val="20"/>
              </w:rPr>
              <w:t xml:space="preserve">Meeting </w:t>
            </w:r>
            <w:r>
              <w:rPr>
                <w:b/>
                <w:sz w:val="20"/>
                <w:szCs w:val="20"/>
              </w:rPr>
              <w:t>Expectations</w:t>
            </w:r>
          </w:p>
        </w:tc>
        <w:tc>
          <w:tcPr>
            <w:tcW w:w="746" w:type="dxa"/>
            <w:vMerge w:val="restart"/>
          </w:tcPr>
          <w:p w14:paraId="3EB165AF" w14:textId="77777777" w:rsidR="00252912" w:rsidRPr="00252912" w:rsidRDefault="00252912" w:rsidP="00535319">
            <w:pPr>
              <w:jc w:val="center"/>
              <w:rPr>
                <w:b/>
                <w:sz w:val="20"/>
                <w:szCs w:val="20"/>
              </w:rPr>
            </w:pPr>
          </w:p>
        </w:tc>
        <w:tc>
          <w:tcPr>
            <w:tcW w:w="2665" w:type="dxa"/>
            <w:gridSpan w:val="3"/>
            <w:shd w:val="clear" w:color="auto" w:fill="DBE5F1" w:themeFill="accent1" w:themeFillTint="33"/>
          </w:tcPr>
          <w:p w14:paraId="3696CD68" w14:textId="059ABD14" w:rsidR="00252912" w:rsidRPr="00252912" w:rsidRDefault="00252912" w:rsidP="00252912">
            <w:pPr>
              <w:jc w:val="center"/>
              <w:rPr>
                <w:b/>
                <w:sz w:val="20"/>
                <w:szCs w:val="20"/>
              </w:rPr>
            </w:pPr>
            <w:r w:rsidRPr="00252912">
              <w:rPr>
                <w:b/>
                <w:sz w:val="20"/>
                <w:szCs w:val="20"/>
              </w:rPr>
              <w:t xml:space="preserve">Ahead of </w:t>
            </w:r>
            <w:r>
              <w:rPr>
                <w:b/>
                <w:sz w:val="20"/>
                <w:szCs w:val="20"/>
              </w:rPr>
              <w:t>Expectations</w:t>
            </w:r>
          </w:p>
        </w:tc>
      </w:tr>
      <w:tr w:rsidR="00252912" w14:paraId="7892F15D" w14:textId="77777777" w:rsidTr="00535319">
        <w:tc>
          <w:tcPr>
            <w:tcW w:w="962" w:type="dxa"/>
            <w:shd w:val="clear" w:color="auto" w:fill="DBE5F1" w:themeFill="accent1" w:themeFillTint="33"/>
          </w:tcPr>
          <w:p w14:paraId="4F4EA8FB" w14:textId="77777777" w:rsidR="00252912" w:rsidRPr="00252912" w:rsidRDefault="00252912" w:rsidP="00535319">
            <w:pPr>
              <w:jc w:val="center"/>
              <w:rPr>
                <w:sz w:val="20"/>
                <w:szCs w:val="20"/>
              </w:rPr>
            </w:pPr>
            <w:r w:rsidRPr="00252912">
              <w:rPr>
                <w:sz w:val="20"/>
                <w:szCs w:val="20"/>
              </w:rPr>
              <w:t>Reading</w:t>
            </w:r>
          </w:p>
        </w:tc>
        <w:tc>
          <w:tcPr>
            <w:tcW w:w="857" w:type="dxa"/>
            <w:shd w:val="clear" w:color="auto" w:fill="DBE5F1" w:themeFill="accent1" w:themeFillTint="33"/>
          </w:tcPr>
          <w:p w14:paraId="17B57A01" w14:textId="77777777" w:rsidR="00252912" w:rsidRPr="00252912" w:rsidRDefault="00252912" w:rsidP="00535319">
            <w:pPr>
              <w:jc w:val="center"/>
              <w:rPr>
                <w:sz w:val="20"/>
                <w:szCs w:val="20"/>
              </w:rPr>
            </w:pPr>
            <w:r w:rsidRPr="00252912">
              <w:rPr>
                <w:sz w:val="20"/>
                <w:szCs w:val="20"/>
              </w:rPr>
              <w:t>Writing</w:t>
            </w:r>
          </w:p>
        </w:tc>
        <w:tc>
          <w:tcPr>
            <w:tcW w:w="845" w:type="dxa"/>
            <w:shd w:val="clear" w:color="auto" w:fill="DBE5F1" w:themeFill="accent1" w:themeFillTint="33"/>
          </w:tcPr>
          <w:p w14:paraId="28164385" w14:textId="77777777" w:rsidR="00252912" w:rsidRPr="00252912" w:rsidRDefault="00252912" w:rsidP="00535319">
            <w:pPr>
              <w:jc w:val="center"/>
              <w:rPr>
                <w:sz w:val="20"/>
                <w:szCs w:val="20"/>
              </w:rPr>
            </w:pPr>
            <w:r w:rsidRPr="00252912">
              <w:rPr>
                <w:sz w:val="20"/>
                <w:szCs w:val="20"/>
              </w:rPr>
              <w:t>Maths</w:t>
            </w:r>
          </w:p>
        </w:tc>
        <w:tc>
          <w:tcPr>
            <w:tcW w:w="746" w:type="dxa"/>
            <w:vMerge/>
          </w:tcPr>
          <w:p w14:paraId="7928FFE8" w14:textId="77777777" w:rsidR="00252912" w:rsidRPr="00252912" w:rsidRDefault="00252912" w:rsidP="00535319">
            <w:pPr>
              <w:jc w:val="center"/>
              <w:rPr>
                <w:sz w:val="20"/>
                <w:szCs w:val="20"/>
              </w:rPr>
            </w:pPr>
          </w:p>
        </w:tc>
        <w:tc>
          <w:tcPr>
            <w:tcW w:w="962" w:type="dxa"/>
            <w:shd w:val="clear" w:color="auto" w:fill="DBE5F1" w:themeFill="accent1" w:themeFillTint="33"/>
          </w:tcPr>
          <w:p w14:paraId="34EE6922" w14:textId="77777777" w:rsidR="00252912" w:rsidRPr="00252912" w:rsidRDefault="00252912" w:rsidP="00535319">
            <w:pPr>
              <w:jc w:val="center"/>
              <w:rPr>
                <w:sz w:val="20"/>
                <w:szCs w:val="20"/>
              </w:rPr>
            </w:pPr>
            <w:r>
              <w:rPr>
                <w:sz w:val="20"/>
                <w:szCs w:val="20"/>
              </w:rPr>
              <w:t>Reading</w:t>
            </w:r>
          </w:p>
        </w:tc>
        <w:tc>
          <w:tcPr>
            <w:tcW w:w="859" w:type="dxa"/>
            <w:shd w:val="clear" w:color="auto" w:fill="DBE5F1" w:themeFill="accent1" w:themeFillTint="33"/>
          </w:tcPr>
          <w:p w14:paraId="39440EF3" w14:textId="77777777" w:rsidR="00252912" w:rsidRPr="00252912" w:rsidRDefault="00252912" w:rsidP="00535319">
            <w:pPr>
              <w:jc w:val="center"/>
              <w:rPr>
                <w:sz w:val="20"/>
                <w:szCs w:val="20"/>
              </w:rPr>
            </w:pPr>
            <w:r>
              <w:rPr>
                <w:sz w:val="20"/>
                <w:szCs w:val="20"/>
              </w:rPr>
              <w:t>Writing</w:t>
            </w:r>
          </w:p>
        </w:tc>
        <w:tc>
          <w:tcPr>
            <w:tcW w:w="844" w:type="dxa"/>
            <w:shd w:val="clear" w:color="auto" w:fill="DBE5F1" w:themeFill="accent1" w:themeFillTint="33"/>
          </w:tcPr>
          <w:p w14:paraId="02FE52B4" w14:textId="77777777" w:rsidR="00252912" w:rsidRPr="00252912" w:rsidRDefault="00252912" w:rsidP="00535319">
            <w:pPr>
              <w:jc w:val="center"/>
              <w:rPr>
                <w:sz w:val="20"/>
                <w:szCs w:val="20"/>
              </w:rPr>
            </w:pPr>
            <w:r>
              <w:rPr>
                <w:sz w:val="20"/>
                <w:szCs w:val="20"/>
              </w:rPr>
              <w:t>Maths</w:t>
            </w:r>
          </w:p>
        </w:tc>
        <w:tc>
          <w:tcPr>
            <w:tcW w:w="746" w:type="dxa"/>
            <w:vMerge/>
          </w:tcPr>
          <w:p w14:paraId="71B76F5F" w14:textId="77777777" w:rsidR="00252912" w:rsidRPr="00252912" w:rsidRDefault="00252912" w:rsidP="00535319">
            <w:pPr>
              <w:jc w:val="center"/>
              <w:rPr>
                <w:sz w:val="20"/>
                <w:szCs w:val="20"/>
              </w:rPr>
            </w:pPr>
          </w:p>
        </w:tc>
        <w:tc>
          <w:tcPr>
            <w:tcW w:w="962" w:type="dxa"/>
            <w:shd w:val="clear" w:color="auto" w:fill="DBE5F1" w:themeFill="accent1" w:themeFillTint="33"/>
          </w:tcPr>
          <w:p w14:paraId="25388142" w14:textId="77777777" w:rsidR="00252912" w:rsidRPr="00252912" w:rsidRDefault="00252912" w:rsidP="00535319">
            <w:pPr>
              <w:jc w:val="center"/>
              <w:rPr>
                <w:sz w:val="20"/>
                <w:szCs w:val="20"/>
              </w:rPr>
            </w:pPr>
            <w:r>
              <w:rPr>
                <w:sz w:val="20"/>
                <w:szCs w:val="20"/>
              </w:rPr>
              <w:t>Reading</w:t>
            </w:r>
          </w:p>
        </w:tc>
        <w:tc>
          <w:tcPr>
            <w:tcW w:w="858" w:type="dxa"/>
            <w:shd w:val="clear" w:color="auto" w:fill="DBE5F1" w:themeFill="accent1" w:themeFillTint="33"/>
          </w:tcPr>
          <w:p w14:paraId="03C38132" w14:textId="77777777" w:rsidR="00252912" w:rsidRPr="00252912" w:rsidRDefault="00252912" w:rsidP="00535319">
            <w:pPr>
              <w:jc w:val="center"/>
              <w:rPr>
                <w:sz w:val="20"/>
                <w:szCs w:val="20"/>
              </w:rPr>
            </w:pPr>
            <w:r>
              <w:rPr>
                <w:sz w:val="20"/>
                <w:szCs w:val="20"/>
              </w:rPr>
              <w:t>Writing</w:t>
            </w:r>
          </w:p>
        </w:tc>
        <w:tc>
          <w:tcPr>
            <w:tcW w:w="845" w:type="dxa"/>
            <w:shd w:val="clear" w:color="auto" w:fill="DBE5F1" w:themeFill="accent1" w:themeFillTint="33"/>
          </w:tcPr>
          <w:p w14:paraId="7E4001D3" w14:textId="77777777" w:rsidR="00252912" w:rsidRPr="00252912" w:rsidRDefault="00252912" w:rsidP="00535319">
            <w:pPr>
              <w:jc w:val="center"/>
              <w:rPr>
                <w:sz w:val="20"/>
                <w:szCs w:val="20"/>
              </w:rPr>
            </w:pPr>
            <w:r>
              <w:rPr>
                <w:sz w:val="20"/>
                <w:szCs w:val="20"/>
              </w:rPr>
              <w:t>Maths</w:t>
            </w:r>
          </w:p>
        </w:tc>
      </w:tr>
      <w:tr w:rsidR="00252912" w14:paraId="0FED70F1" w14:textId="77777777" w:rsidTr="00535319">
        <w:tc>
          <w:tcPr>
            <w:tcW w:w="962" w:type="dxa"/>
          </w:tcPr>
          <w:p w14:paraId="38426469" w14:textId="66BA4FFC" w:rsidR="00252912" w:rsidRDefault="00A36914" w:rsidP="00A36914">
            <w:pPr>
              <w:spacing w:before="120" w:after="120"/>
              <w:jc w:val="center"/>
            </w:pPr>
            <w:r>
              <w:t>6</w:t>
            </w:r>
          </w:p>
        </w:tc>
        <w:tc>
          <w:tcPr>
            <w:tcW w:w="857" w:type="dxa"/>
          </w:tcPr>
          <w:p w14:paraId="6612F213" w14:textId="5E5C7957" w:rsidR="00252912" w:rsidRDefault="00AA2A92" w:rsidP="00A36914">
            <w:pPr>
              <w:spacing w:before="120" w:after="120"/>
              <w:jc w:val="center"/>
            </w:pPr>
            <w:r>
              <w:t>7</w:t>
            </w:r>
          </w:p>
        </w:tc>
        <w:tc>
          <w:tcPr>
            <w:tcW w:w="845" w:type="dxa"/>
          </w:tcPr>
          <w:p w14:paraId="7FDDAC3F" w14:textId="2602F0A8" w:rsidR="00252912" w:rsidRDefault="00A36914" w:rsidP="00A36914">
            <w:pPr>
              <w:spacing w:before="120" w:after="120"/>
              <w:jc w:val="center"/>
            </w:pPr>
            <w:r>
              <w:t>7</w:t>
            </w:r>
          </w:p>
        </w:tc>
        <w:tc>
          <w:tcPr>
            <w:tcW w:w="746" w:type="dxa"/>
            <w:vMerge/>
          </w:tcPr>
          <w:p w14:paraId="7625FBEC" w14:textId="77777777" w:rsidR="00252912" w:rsidRDefault="00252912" w:rsidP="00A36914">
            <w:pPr>
              <w:spacing w:before="120" w:after="120"/>
              <w:jc w:val="center"/>
            </w:pPr>
          </w:p>
        </w:tc>
        <w:tc>
          <w:tcPr>
            <w:tcW w:w="962" w:type="dxa"/>
          </w:tcPr>
          <w:p w14:paraId="2A3E837F" w14:textId="64D62F65" w:rsidR="00252912" w:rsidRDefault="00A36914" w:rsidP="00A36914">
            <w:pPr>
              <w:spacing w:before="120" w:after="120"/>
              <w:jc w:val="center"/>
            </w:pPr>
            <w:r>
              <w:t>10</w:t>
            </w:r>
          </w:p>
        </w:tc>
        <w:tc>
          <w:tcPr>
            <w:tcW w:w="859" w:type="dxa"/>
          </w:tcPr>
          <w:p w14:paraId="3B47753B" w14:textId="33EDAFFF" w:rsidR="00252912" w:rsidRDefault="00AA2A92" w:rsidP="00A36914">
            <w:pPr>
              <w:spacing w:before="120" w:after="120"/>
              <w:jc w:val="center"/>
            </w:pPr>
            <w:r>
              <w:t>10</w:t>
            </w:r>
          </w:p>
        </w:tc>
        <w:tc>
          <w:tcPr>
            <w:tcW w:w="844" w:type="dxa"/>
          </w:tcPr>
          <w:p w14:paraId="3F6926F5" w14:textId="710CFDB8" w:rsidR="00252912" w:rsidRDefault="00AA2A92" w:rsidP="00A36914">
            <w:pPr>
              <w:spacing w:before="120" w:after="120"/>
              <w:jc w:val="center"/>
            </w:pPr>
            <w:r>
              <w:t>10</w:t>
            </w:r>
          </w:p>
        </w:tc>
        <w:tc>
          <w:tcPr>
            <w:tcW w:w="746" w:type="dxa"/>
            <w:vMerge/>
          </w:tcPr>
          <w:p w14:paraId="40086CA1" w14:textId="77777777" w:rsidR="00252912" w:rsidRDefault="00252912" w:rsidP="00A36914">
            <w:pPr>
              <w:spacing w:before="120" w:after="120"/>
              <w:jc w:val="center"/>
            </w:pPr>
          </w:p>
        </w:tc>
        <w:tc>
          <w:tcPr>
            <w:tcW w:w="962" w:type="dxa"/>
          </w:tcPr>
          <w:p w14:paraId="1E3C3E59" w14:textId="0C0A319C" w:rsidR="00252912" w:rsidRDefault="00A36914" w:rsidP="00A36914">
            <w:pPr>
              <w:spacing w:before="120" w:after="120"/>
              <w:jc w:val="center"/>
            </w:pPr>
            <w:r>
              <w:t>2</w:t>
            </w:r>
          </w:p>
        </w:tc>
        <w:tc>
          <w:tcPr>
            <w:tcW w:w="858" w:type="dxa"/>
          </w:tcPr>
          <w:p w14:paraId="0830985A" w14:textId="7E1DDA40" w:rsidR="00252912" w:rsidRDefault="00A36914" w:rsidP="00A36914">
            <w:pPr>
              <w:spacing w:before="120" w:after="120"/>
              <w:jc w:val="center"/>
            </w:pPr>
            <w:r>
              <w:t>1</w:t>
            </w:r>
          </w:p>
        </w:tc>
        <w:tc>
          <w:tcPr>
            <w:tcW w:w="845" w:type="dxa"/>
          </w:tcPr>
          <w:p w14:paraId="4B517B21" w14:textId="5A4ACC60" w:rsidR="00252912" w:rsidRDefault="00A36914" w:rsidP="00A36914">
            <w:pPr>
              <w:spacing w:before="120" w:after="120"/>
              <w:jc w:val="center"/>
            </w:pPr>
            <w:r>
              <w:t>1</w:t>
            </w:r>
          </w:p>
        </w:tc>
      </w:tr>
    </w:tbl>
    <w:p w14:paraId="010E96B9" w14:textId="77777777" w:rsidR="00252912" w:rsidRDefault="00252912"/>
    <w:p w14:paraId="2A7D5554" w14:textId="30C9D5C8" w:rsidR="00E66558" w:rsidRPr="00F329DD" w:rsidRDefault="009D71E8" w:rsidP="00F329DD">
      <w:pPr>
        <w:pStyle w:val="Heading2"/>
        <w:spacing w:before="600"/>
      </w:pPr>
      <w:r>
        <w:t xml:space="preserve">Service pupil premium funding </w:t>
      </w:r>
      <w:r w:rsidR="00045748">
        <w:t>£32</w:t>
      </w:r>
      <w:r w:rsidR="00517166">
        <w:t>0</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37DFC" w14:textId="75B427A9" w:rsidR="00E66558" w:rsidRDefault="00517166" w:rsidP="00F329DD">
            <w:pPr>
              <w:pStyle w:val="TableRowCentered"/>
              <w:numPr>
                <w:ilvl w:val="0"/>
                <w:numId w:val="17"/>
              </w:numPr>
              <w:jc w:val="left"/>
            </w:pPr>
            <w:r>
              <w:t>Participation in a Community Art Project linked to Remembrance Day. Participation was free of charge, with an artist coming into school to work with the children in creating lanterns.</w:t>
            </w:r>
          </w:p>
          <w:p w14:paraId="3D758BF2" w14:textId="77777777" w:rsidR="00517166" w:rsidRDefault="00517166" w:rsidP="00517166">
            <w:pPr>
              <w:pStyle w:val="TableRowCentered"/>
              <w:jc w:val="left"/>
            </w:pPr>
            <w:r>
              <w:t xml:space="preserve">We then attended a Remembrance Service at a local church. The Service PP funding paid for additional staffing  </w:t>
            </w:r>
            <w:r>
              <w:lastRenderedPageBreak/>
              <w:t>ratios necessary to take children out of school.</w:t>
            </w:r>
          </w:p>
          <w:p w14:paraId="2A7D5559" w14:textId="1ADD0DF3" w:rsidR="00F329DD" w:rsidRDefault="00F329DD" w:rsidP="00F329DD">
            <w:pPr>
              <w:pStyle w:val="TableRowCentered"/>
              <w:numPr>
                <w:ilvl w:val="0"/>
                <w:numId w:val="17"/>
              </w:numPr>
              <w:jc w:val="left"/>
            </w:pPr>
            <w:r>
              <w:t>Part-funding for staff training linked to developing pupil well-being and factors that can impact on this, such as a service parent being away from home.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5D451D76" w:rsidR="00E66558" w:rsidRDefault="009D71E8">
            <w:pPr>
              <w:pStyle w:val="TableRow"/>
            </w:pPr>
            <w:r>
              <w:rPr>
                <w:color w:val="000000"/>
                <w:sz w:val="22"/>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3019" w14:textId="77777777" w:rsidR="00E66558" w:rsidRDefault="00F329DD" w:rsidP="00F329DD">
            <w:pPr>
              <w:pStyle w:val="TableRowCentered"/>
              <w:numPr>
                <w:ilvl w:val="0"/>
                <w:numId w:val="18"/>
              </w:numPr>
              <w:jc w:val="left"/>
            </w:pPr>
            <w:r>
              <w:t>Highlighted  the role of the armed services to other children in school and raised the profile of service children and families.  Service children were given an important role in the Remembrance Service, which raised self-esteem and improved well-being.</w:t>
            </w:r>
          </w:p>
          <w:p w14:paraId="2A7D555C" w14:textId="6B404B3C" w:rsidR="00F329DD" w:rsidRDefault="00F329DD" w:rsidP="00F329DD">
            <w:pPr>
              <w:pStyle w:val="TableRowCentered"/>
              <w:numPr>
                <w:ilvl w:val="0"/>
                <w:numId w:val="18"/>
              </w:numPr>
              <w:jc w:val="left"/>
            </w:pPr>
            <w:r>
              <w:t>Opportunity for staff working with service children to reflect on what it might be like for a child whose parent is away from home in the armed forces and how they can give much-needed support.</w:t>
            </w:r>
          </w:p>
        </w:tc>
      </w:tr>
      <w:bookmarkEnd w:id="18"/>
    </w:tbl>
    <w:p w14:paraId="2A7D555E" w14:textId="549C1BBA"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CB569" w14:textId="77777777" w:rsidR="006E3636" w:rsidRDefault="006E3636">
      <w:pPr>
        <w:spacing w:after="0" w:line="240" w:lineRule="auto"/>
      </w:pPr>
      <w:r>
        <w:separator/>
      </w:r>
    </w:p>
  </w:endnote>
  <w:endnote w:type="continuationSeparator" w:id="0">
    <w:p w14:paraId="6B0973CE" w14:textId="77777777" w:rsidR="006E3636" w:rsidRDefault="006E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E28A4" w:rsidRDefault="009D71E8">
    <w:pPr>
      <w:pStyle w:val="Footer"/>
      <w:ind w:firstLine="4513"/>
    </w:pPr>
    <w:r>
      <w:fldChar w:fldCharType="begin"/>
    </w:r>
    <w:r>
      <w:instrText xml:space="preserve"> PAGE </w:instrText>
    </w:r>
    <w:r>
      <w:fldChar w:fldCharType="separate"/>
    </w:r>
    <w:r w:rsidR="00AA2A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4FB5" w14:textId="77777777" w:rsidR="006E3636" w:rsidRDefault="006E3636">
      <w:pPr>
        <w:spacing w:after="0" w:line="240" w:lineRule="auto"/>
      </w:pPr>
      <w:r>
        <w:separator/>
      </w:r>
    </w:p>
  </w:footnote>
  <w:footnote w:type="continuationSeparator" w:id="0">
    <w:p w14:paraId="48AADAF4" w14:textId="77777777" w:rsidR="006E3636" w:rsidRDefault="006E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6E3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848"/>
    <w:multiLevelType w:val="hybridMultilevel"/>
    <w:tmpl w:val="0A607144"/>
    <w:lvl w:ilvl="0" w:tplc="807EF46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622DC7"/>
    <w:multiLevelType w:val="hybridMultilevel"/>
    <w:tmpl w:val="4DE0EA18"/>
    <w:lvl w:ilvl="0" w:tplc="8B363F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6967649"/>
    <w:multiLevelType w:val="hybridMultilevel"/>
    <w:tmpl w:val="B184B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47F01B5"/>
    <w:multiLevelType w:val="hybridMultilevel"/>
    <w:tmpl w:val="16EEFB3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3"/>
  </w:num>
  <w:num w:numId="8">
    <w:abstractNumId w:val="18"/>
  </w:num>
  <w:num w:numId="9">
    <w:abstractNumId w:val="15"/>
  </w:num>
  <w:num w:numId="10">
    <w:abstractNumId w:val="14"/>
  </w:num>
  <w:num w:numId="11">
    <w:abstractNumId w:val="4"/>
  </w:num>
  <w:num w:numId="12">
    <w:abstractNumId w:val="16"/>
  </w:num>
  <w:num w:numId="13">
    <w:abstractNumId w:val="12"/>
  </w:num>
  <w:num w:numId="14">
    <w:abstractNumId w:val="8"/>
  </w:num>
  <w:num w:numId="15">
    <w:abstractNumId w:val="10"/>
  </w:num>
  <w:num w:numId="16">
    <w:abstractNumId w:val="17"/>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45748"/>
    <w:rsid w:val="00053536"/>
    <w:rsid w:val="00066B73"/>
    <w:rsid w:val="00102C59"/>
    <w:rsid w:val="00120AB1"/>
    <w:rsid w:val="001F671F"/>
    <w:rsid w:val="002261E9"/>
    <w:rsid w:val="0024496A"/>
    <w:rsid w:val="00252912"/>
    <w:rsid w:val="00286071"/>
    <w:rsid w:val="002E7413"/>
    <w:rsid w:val="00351C91"/>
    <w:rsid w:val="0037437C"/>
    <w:rsid w:val="003E75EA"/>
    <w:rsid w:val="003F4FBD"/>
    <w:rsid w:val="004044AA"/>
    <w:rsid w:val="00451973"/>
    <w:rsid w:val="00517166"/>
    <w:rsid w:val="00533A8B"/>
    <w:rsid w:val="0053776C"/>
    <w:rsid w:val="005738E4"/>
    <w:rsid w:val="00584D8F"/>
    <w:rsid w:val="005D284F"/>
    <w:rsid w:val="005F40DF"/>
    <w:rsid w:val="00611C04"/>
    <w:rsid w:val="00634238"/>
    <w:rsid w:val="00635FBC"/>
    <w:rsid w:val="00646B1C"/>
    <w:rsid w:val="00654973"/>
    <w:rsid w:val="006846BD"/>
    <w:rsid w:val="006E3636"/>
    <w:rsid w:val="006E6B4A"/>
    <w:rsid w:val="006E7FB1"/>
    <w:rsid w:val="007309C9"/>
    <w:rsid w:val="00741B9E"/>
    <w:rsid w:val="007C2F04"/>
    <w:rsid w:val="007E3A27"/>
    <w:rsid w:val="00824210"/>
    <w:rsid w:val="00897700"/>
    <w:rsid w:val="009434AF"/>
    <w:rsid w:val="009D71E8"/>
    <w:rsid w:val="00A24E71"/>
    <w:rsid w:val="00A36914"/>
    <w:rsid w:val="00A40203"/>
    <w:rsid w:val="00AA2A92"/>
    <w:rsid w:val="00AD7260"/>
    <w:rsid w:val="00B2201B"/>
    <w:rsid w:val="00BA7DB4"/>
    <w:rsid w:val="00C736B5"/>
    <w:rsid w:val="00C977B6"/>
    <w:rsid w:val="00D06874"/>
    <w:rsid w:val="00D33FE5"/>
    <w:rsid w:val="00DA558B"/>
    <w:rsid w:val="00E66558"/>
    <w:rsid w:val="00E705E9"/>
    <w:rsid w:val="00F3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25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10105</TotalTime>
  <Pages>9</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Catforth</cp:lastModifiedBy>
  <cp:revision>6</cp:revision>
  <cp:lastPrinted>2014-09-17T13:26:00Z</cp:lastPrinted>
  <dcterms:created xsi:type="dcterms:W3CDTF">2022-07-26T20:37:00Z</dcterms:created>
  <dcterms:modified xsi:type="dcterms:W3CDTF">2023-05-04T19:52:00Z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